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before="7"/>
        <w:rPr/>
      </w:pPr>
      <w:r/>
    </w:p>
    <w:p>
      <w:pPr>
        <w:spacing w:before="7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pacing w:before="6"/>
        <w:rPr/>
      </w:pPr>
      <w:r/>
    </w:p>
    <w:p>
      <w:pPr>
        <w:sectPr>
          <w:pgSz w:w="11900" w:h="16840"/>
          <w:pgMar w:top="1431" w:right="1785" w:bottom="0" w:left="1259" w:header="0" w:footer="0" w:gutter="0"/>
          <w:cols w:equalWidth="0" w:num="1">
            <w:col w:w="8856" w:space="0"/>
          </w:cols>
        </w:sectPr>
        <w:rPr/>
      </w:pPr>
    </w:p>
    <w:p>
      <w:pPr>
        <w:pStyle w:val="BodyText"/>
        <w:ind w:left="135" w:right="145" w:firstLine="1"/>
        <w:spacing w:before="218" w:line="211" w:lineRule="auto"/>
        <w:jc w:val="both"/>
        <w:rPr/>
      </w:pPr>
      <w:r>
        <w:rPr>
          <w:b/>
          <w:bCs/>
          <w:color w:val="F6586D"/>
          <w:spacing w:val="-50"/>
          <w:w w:val="72"/>
        </w:rPr>
        <w:t>河北省卫生健康委员会办公室</w:t>
      </w:r>
      <w:r>
        <w:rPr>
          <w:color w:val="F6586D"/>
          <w:spacing w:val="45"/>
        </w:rPr>
        <w:t xml:space="preserve"> </w:t>
      </w:r>
      <w:r>
        <w:rPr>
          <w:b/>
          <w:bCs/>
          <w:color w:val="F6586D"/>
          <w:spacing w:val="-62"/>
          <w:w w:val="80"/>
        </w:rPr>
        <w:t>河北</w:t>
      </w:r>
      <w:r>
        <w:rPr>
          <w:color w:val="F6586D"/>
          <w:spacing w:val="50"/>
        </w:rPr>
        <w:t xml:space="preserve"> </w:t>
      </w:r>
      <w:r>
        <w:rPr>
          <w:b/>
          <w:bCs/>
          <w:color w:val="F6586D"/>
          <w:spacing w:val="-62"/>
          <w:w w:val="80"/>
        </w:rPr>
        <w:t>省公</w:t>
      </w:r>
      <w:r>
        <w:rPr>
          <w:color w:val="F6586D"/>
          <w:spacing w:val="16"/>
        </w:rPr>
        <w:t xml:space="preserve"> </w:t>
      </w:r>
      <w:r>
        <w:rPr>
          <w:b/>
          <w:bCs/>
          <w:color w:val="F6586D"/>
          <w:spacing w:val="-62"/>
          <w:w w:val="80"/>
        </w:rPr>
        <w:t>安厅</w:t>
      </w:r>
      <w:r>
        <w:rPr>
          <w:color w:val="F6586D"/>
          <w:spacing w:val="22"/>
        </w:rPr>
        <w:t xml:space="preserve"> </w:t>
      </w:r>
      <w:r>
        <w:rPr>
          <w:b/>
          <w:bCs/>
          <w:color w:val="F6586D"/>
          <w:spacing w:val="-62"/>
          <w:w w:val="80"/>
        </w:rPr>
        <w:t>办公</w:t>
      </w:r>
      <w:r>
        <w:rPr>
          <w:color w:val="F6586D"/>
          <w:spacing w:val="14"/>
        </w:rPr>
        <w:t xml:space="preserve"> </w:t>
      </w:r>
      <w:r>
        <w:rPr>
          <w:b/>
          <w:bCs/>
          <w:color w:val="F6586D"/>
          <w:spacing w:val="-62"/>
          <w:w w:val="80"/>
        </w:rPr>
        <w:t>室</w:t>
      </w:r>
      <w:r>
        <w:rPr>
          <w:color w:val="F6586D"/>
        </w:rPr>
        <w:t xml:space="preserve"> </w:t>
      </w:r>
      <w:r>
        <w:rPr>
          <w:b/>
          <w:bCs/>
          <w:color w:val="F6586D"/>
          <w:spacing w:val="-40"/>
          <w:w w:val="58"/>
        </w:rPr>
        <w:t>河北省人力资源和社会保障厅办公室</w:t>
      </w:r>
      <w:r>
        <w:rPr>
          <w:color w:val="F6586D"/>
          <w:spacing w:val="70"/>
        </w:rPr>
        <w:t xml:space="preserve"> </w:t>
      </w:r>
      <w:r>
        <w:rPr>
          <w:b/>
          <w:bCs/>
          <w:color w:val="F6586D"/>
          <w:spacing w:val="-61"/>
          <w:w w:val="79"/>
        </w:rPr>
        <w:t>河北省中医药管理局综合处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spacing w:before="367" w:line="219" w:lineRule="auto"/>
        <w:rPr>
          <w:sz w:val="113"/>
          <w:szCs w:val="113"/>
        </w:rPr>
      </w:pPr>
      <w:r>
        <w:rPr>
          <w:sz w:val="113"/>
          <w:szCs w:val="113"/>
          <w:b/>
          <w:bCs/>
          <w:color w:val="F8919F"/>
          <w:spacing w:val="-97"/>
          <w:w w:val="91"/>
        </w:rPr>
        <w:t>文</w:t>
      </w:r>
      <w:r>
        <w:rPr>
          <w:sz w:val="113"/>
          <w:szCs w:val="113"/>
          <w:b/>
          <w:bCs/>
          <w:color w:val="F8919F"/>
          <w:spacing w:val="-71"/>
          <w:w w:val="91"/>
        </w:rPr>
        <w:t>件</w:t>
      </w:r>
    </w:p>
    <w:p>
      <w:pPr>
        <w:spacing w:line="219" w:lineRule="auto"/>
        <w:sectPr>
          <w:type w:val="continuous"/>
          <w:pgSz w:w="11900" w:h="16840"/>
          <w:pgMar w:top="1431" w:right="1785" w:bottom="0" w:left="1259" w:header="0" w:footer="0" w:gutter="0"/>
          <w:cols w:equalWidth="0" w:num="2">
            <w:col w:w="6802" w:space="100"/>
            <w:col w:w="1954" w:space="0"/>
          </w:cols>
        </w:sectPr>
        <w:rPr>
          <w:sz w:val="113"/>
          <w:szCs w:val="113"/>
        </w:rPr>
      </w:pP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2630"/>
        <w:spacing w:before="101" w:line="222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color w:val="284351"/>
          <w:spacing w:val="-1"/>
        </w:rPr>
        <w:t>冀卫办科教〔2021〕12号</w:t>
      </w:r>
    </w:p>
    <w:p>
      <w:pPr>
        <w:spacing w:before="126" w:line="60" w:lineRule="exact"/>
        <w:rPr/>
      </w:pPr>
      <w:r>
        <w:rPr>
          <w:position w:val="-1"/>
        </w:rPr>
        <w:drawing>
          <wp:inline distT="0" distB="0" distL="0" distR="0">
            <wp:extent cx="5499092" cy="38068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99092" cy="3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4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spacing w:line="275" w:lineRule="auto"/>
        <w:rPr>
          <w:rFonts w:ascii="Arial"/>
          <w:sz w:val="21"/>
        </w:rPr>
      </w:pPr>
      <w:r/>
    </w:p>
    <w:p>
      <w:pPr>
        <w:pStyle w:val="BodyText"/>
        <w:ind w:left="1256"/>
        <w:spacing w:before="143" w:line="219" w:lineRule="auto"/>
        <w:rPr>
          <w:sz w:val="44"/>
          <w:szCs w:val="44"/>
        </w:rPr>
      </w:pPr>
      <w:r>
        <w:rPr>
          <w:sz w:val="44"/>
          <w:szCs w:val="44"/>
          <w:b/>
          <w:bCs/>
          <w:color w:val="0F5B82"/>
          <w:spacing w:val="-19"/>
        </w:rPr>
        <w:t>关于转发国家卫生健康委等4部门</w:t>
      </w:r>
    </w:p>
    <w:p>
      <w:pPr>
        <w:pStyle w:val="BodyText"/>
        <w:ind w:left="35"/>
        <w:spacing w:before="188" w:line="219" w:lineRule="auto"/>
        <w:rPr>
          <w:sz w:val="44"/>
          <w:szCs w:val="44"/>
        </w:rPr>
      </w:pPr>
      <w:r>
        <w:rPr>
          <w:sz w:val="44"/>
          <w:szCs w:val="44"/>
          <w:b/>
          <w:bCs/>
          <w:color w:val="3C6F89"/>
          <w:spacing w:val="-43"/>
        </w:rPr>
        <w:t>《关于贯彻落实住院医师规范化培训“两个同等</w:t>
      </w:r>
    </w:p>
    <w:p>
      <w:pPr>
        <w:pStyle w:val="BodyText"/>
        <w:ind w:left="2095"/>
        <w:spacing w:before="158" w:line="219" w:lineRule="auto"/>
        <w:rPr>
          <w:sz w:val="44"/>
          <w:szCs w:val="44"/>
        </w:rPr>
      </w:pPr>
      <w:r>
        <w:rPr>
          <w:sz w:val="44"/>
          <w:szCs w:val="44"/>
          <w:b/>
          <w:bCs/>
          <w:color w:val="0F5B82"/>
          <w:spacing w:val="-51"/>
          <w:w w:val="97"/>
        </w:rPr>
        <w:t>对待”政策的通知》的通知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ind w:left="39" w:right="164"/>
        <w:spacing w:before="101" w:line="327" w:lineRule="auto"/>
        <w:jc w:val="both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color w:val="3D6075"/>
          <w:spacing w:val="20"/>
        </w:rPr>
        <w:t>各市(含定州、辛集市)卫生健康委(局)、公安局、人力资源</w:t>
      </w:r>
      <w:r>
        <w:rPr>
          <w:rFonts w:ascii="FangSong" w:hAnsi="FangSong" w:eastAsia="FangSong" w:cs="FangSong"/>
          <w:sz w:val="31"/>
          <w:szCs w:val="31"/>
          <w:color w:val="3D6075"/>
          <w:spacing w:val="4"/>
        </w:rPr>
        <w:t xml:space="preserve"> </w:t>
      </w:r>
      <w:r>
        <w:rPr>
          <w:rFonts w:ascii="FangSong" w:hAnsi="FangSong" w:eastAsia="FangSong" w:cs="FangSong"/>
          <w:sz w:val="31"/>
          <w:szCs w:val="31"/>
          <w:color w:val="3D6075"/>
          <w:spacing w:val="-12"/>
        </w:rPr>
        <w:t>和社会保障局、中医药管理局，雄安新区党群工作部、公安局、公</w:t>
      </w:r>
    </w:p>
    <w:p>
      <w:pPr>
        <w:ind w:left="39"/>
        <w:spacing w:before="1" w:line="220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color w:val="3D6075"/>
          <w:spacing w:val="-19"/>
        </w:rPr>
        <w:t>共服务局，委属委管各卫生健康单位，各住院医师规</w:t>
      </w:r>
      <w:r>
        <w:rPr>
          <w:rFonts w:ascii="FangSong" w:hAnsi="FangSong" w:eastAsia="FangSong" w:cs="FangSong"/>
          <w:sz w:val="31"/>
          <w:szCs w:val="31"/>
          <w:color w:val="3D6075"/>
          <w:spacing w:val="-20"/>
        </w:rPr>
        <w:t>范化培训基地：</w:t>
      </w:r>
    </w:p>
    <w:p>
      <w:pPr>
        <w:ind w:left="680"/>
        <w:spacing w:before="192" w:line="538" w:lineRule="exact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color w:val="3A5B71"/>
          <w:spacing w:val="-3"/>
          <w:position w:val="16"/>
        </w:rPr>
        <w:t>为贯彻落实《国务院办公厅关于加快医学教育创新发展的指</w:t>
      </w:r>
    </w:p>
    <w:p>
      <w:pPr>
        <w:ind w:left="39"/>
        <w:spacing w:before="2" w:line="221" w:lineRule="auto"/>
        <w:rPr>
          <w:rFonts w:ascii="FangSong" w:hAnsi="FangSong" w:eastAsia="FangSong" w:cs="FangSong"/>
          <w:sz w:val="31"/>
          <w:szCs w:val="31"/>
        </w:rPr>
      </w:pPr>
      <w:r>
        <w:rPr>
          <w:rFonts w:ascii="FangSong" w:hAnsi="FangSong" w:eastAsia="FangSong" w:cs="FangSong"/>
          <w:sz w:val="31"/>
          <w:szCs w:val="31"/>
          <w:color w:val="3A5B71"/>
          <w:spacing w:val="6"/>
        </w:rPr>
        <w:t>导意见》(国办发〔2020〕34号)和《国务院办公厅关于印发深</w:t>
      </w:r>
    </w:p>
    <w:p>
      <w:pPr>
        <w:pStyle w:val="BodyText"/>
        <w:ind w:left="7580"/>
        <w:spacing w:before="67" w:line="207" w:lineRule="exact"/>
        <w:rPr>
          <w:sz w:val="30"/>
          <w:szCs w:val="30"/>
        </w:rPr>
      </w:pPr>
      <w:r>
        <w:rPr>
          <w:sz w:val="30"/>
          <w:szCs w:val="30"/>
          <w:color w:val="3C5973"/>
          <w:spacing w:val="-10"/>
          <w:w w:val="65"/>
          <w:position w:val="-4"/>
        </w:rPr>
        <w:t>—</w:t>
      </w:r>
      <w:r>
        <w:rPr>
          <w:sz w:val="30"/>
          <w:szCs w:val="30"/>
          <w:color w:val="3C5973"/>
          <w:spacing w:val="54"/>
          <w:position w:val="-4"/>
        </w:rPr>
        <w:t xml:space="preserve"> </w:t>
      </w:r>
      <w:r>
        <w:rPr>
          <w:sz w:val="30"/>
          <w:szCs w:val="30"/>
          <w:color w:val="3C5973"/>
          <w:spacing w:val="-17"/>
          <w:position w:val="-4"/>
        </w:rPr>
        <w:t>1</w:t>
      </w:r>
      <w:r>
        <w:rPr>
          <w:sz w:val="30"/>
          <w:szCs w:val="30"/>
          <w:color w:val="3C5973"/>
          <w:spacing w:val="93"/>
          <w:position w:val="-4"/>
        </w:rPr>
        <w:t xml:space="preserve"> </w:t>
      </w:r>
      <w:r>
        <w:rPr>
          <w:sz w:val="30"/>
          <w:szCs w:val="30"/>
          <w:color w:val="3C5973"/>
          <w:spacing w:val="-17"/>
          <w:position w:val="-4"/>
        </w:rPr>
        <w:t>—</w:t>
      </w:r>
    </w:p>
    <w:p>
      <w:pPr>
        <w:spacing w:line="207" w:lineRule="exact"/>
        <w:sectPr>
          <w:type w:val="continuous"/>
          <w:pgSz w:w="11900" w:h="16840"/>
          <w:pgMar w:top="1431" w:right="1785" w:bottom="0" w:left="1259" w:header="0" w:footer="0" w:gutter="0"/>
          <w:cols w:equalWidth="0" w:num="1">
            <w:col w:w="8856" w:space="0"/>
          </w:cols>
        </w:sectPr>
        <w:rPr>
          <w:sz w:val="30"/>
          <w:szCs w:val="30"/>
        </w:rPr>
      </w:pPr>
    </w:p>
    <w:p>
      <w:pPr>
        <w:spacing w:line="361" w:lineRule="auto"/>
        <w:rPr>
          <w:rFonts w:ascii="Arial"/>
          <w:sz w:val="21"/>
        </w:rPr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1619282</wp:posOffset>
            </wp:positionH>
            <wp:positionV relativeFrom="page">
              <wp:posOffset>4984728</wp:posOffset>
            </wp:positionV>
            <wp:extent cx="1530342" cy="1581126"/>
            <wp:effectExtent l="0" t="0" r="0" b="0"/>
            <wp:wrapNone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0342" cy="1581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1708146</wp:posOffset>
            </wp:positionH>
            <wp:positionV relativeFrom="page">
              <wp:posOffset>7124691</wp:posOffset>
            </wp:positionV>
            <wp:extent cx="1530342" cy="1498573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0342" cy="1498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139"/>
        <w:spacing w:before="91" w:line="561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color w:val="27669E"/>
          <w:spacing w:val="37"/>
          <w:position w:val="21"/>
        </w:rPr>
        <w:t>化医药卫生体制改革2021年重点工作任务</w:t>
      </w:r>
      <w:r>
        <w:rPr>
          <w:rFonts w:ascii="FangSong" w:hAnsi="FangSong" w:eastAsia="FangSong" w:cs="FangSong"/>
          <w:sz w:val="28"/>
          <w:szCs w:val="28"/>
          <w:color w:val="27669E"/>
          <w:spacing w:val="36"/>
          <w:position w:val="21"/>
        </w:rPr>
        <w:t>的通知》</w:t>
      </w:r>
      <w:r>
        <w:rPr>
          <w:rFonts w:ascii="FangSong" w:hAnsi="FangSong" w:eastAsia="FangSong" w:cs="FangSong"/>
          <w:sz w:val="28"/>
          <w:szCs w:val="28"/>
          <w:color w:val="27669E"/>
          <w:spacing w:val="36"/>
          <w:position w:val="21"/>
        </w:rPr>
        <w:t xml:space="preserve">  </w:t>
      </w:r>
      <w:r>
        <w:rPr>
          <w:rFonts w:ascii="FangSong" w:hAnsi="FangSong" w:eastAsia="FangSong" w:cs="FangSong"/>
          <w:sz w:val="28"/>
          <w:szCs w:val="28"/>
          <w:color w:val="27669E"/>
          <w:spacing w:val="36"/>
          <w:position w:val="21"/>
        </w:rPr>
        <w:t>(国办发</w:t>
      </w:r>
    </w:p>
    <w:p>
      <w:pPr>
        <w:spacing w:before="1" w:line="22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color w:val="27669E"/>
          <w:spacing w:val="30"/>
        </w:rPr>
        <w:t>〔2021〕20号)要求，健全住院医师规范化培训制度，保障住院</w:t>
      </w:r>
    </w:p>
    <w:p>
      <w:pPr>
        <w:ind w:left="140"/>
        <w:spacing w:before="226" w:line="560" w:lineRule="exac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color w:val="256A98"/>
          <w:spacing w:val="29"/>
          <w:position w:val="20"/>
        </w:rPr>
        <w:t>医师合理待遇，国家卫生健康委等4部门联合印发了《关于贯彻</w:t>
      </w:r>
    </w:p>
    <w:p>
      <w:pPr>
        <w:ind w:left="140"/>
        <w:spacing w:line="221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color w:val="256A98"/>
          <w:spacing w:val="29"/>
        </w:rPr>
        <w:t>落实住院医师规范化培训“两个同等对待”政策的通知》(国卫</w:t>
      </w:r>
    </w:p>
    <w:p>
      <w:pPr>
        <w:ind w:left="139" w:right="153"/>
        <w:spacing w:before="219" w:line="370" w:lineRule="auto"/>
        <w:jc w:val="both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color w:val="436881"/>
          <w:spacing w:val="32"/>
        </w:rPr>
        <w:t>办科教〔2021〕18号),现转发给你们，请结合河北省人民政府</w:t>
      </w:r>
      <w:r>
        <w:rPr>
          <w:rFonts w:ascii="FangSong" w:hAnsi="FangSong" w:eastAsia="FangSong" w:cs="FangSong"/>
          <w:sz w:val="28"/>
          <w:szCs w:val="28"/>
          <w:color w:val="436881"/>
        </w:rPr>
        <w:t xml:space="preserve">  </w:t>
      </w:r>
      <w:r>
        <w:rPr>
          <w:rFonts w:ascii="FangSong" w:hAnsi="FangSong" w:eastAsia="FangSong" w:cs="FangSong"/>
          <w:sz w:val="28"/>
          <w:szCs w:val="28"/>
          <w:color w:val="436881"/>
          <w:spacing w:val="42"/>
        </w:rPr>
        <w:t>办公厅印发的《关于加快医学教育创新发展实施方案的通知》</w:t>
      </w:r>
    </w:p>
    <w:p>
      <w:pPr>
        <w:ind w:left="139"/>
        <w:spacing w:line="220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color w:val="436881"/>
          <w:spacing w:val="27"/>
        </w:rPr>
        <w:t>(冀政办字〔2020〕220号)及工作实际，认真贯彻落实。</w:t>
      </w:r>
    </w:p>
    <w:p>
      <w:pPr>
        <w:spacing w:line="356" w:lineRule="auto"/>
        <w:rPr>
          <w:rFonts w:ascii="Arial"/>
          <w:sz w:val="21"/>
        </w:rPr>
      </w:pPr>
      <w:r/>
    </w:p>
    <w:p>
      <w:pPr>
        <w:spacing w:line="357" w:lineRule="auto"/>
        <w:rPr>
          <w:rFonts w:ascii="Arial"/>
          <w:sz w:val="21"/>
        </w:rPr>
      </w:pPr>
      <w:r/>
    </w:p>
    <w:p>
      <w:pPr>
        <w:spacing w:before="91" w:line="561" w:lineRule="exact"/>
        <w:jc w:val="right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color w:val="3C5874"/>
          <w:spacing w:val="25"/>
          <w:position w:val="21"/>
        </w:rPr>
        <w:t>附件：《关于贯彻落实住院医师规范化培训“两个同等</w:t>
      </w:r>
      <w:r>
        <w:rPr>
          <w:rFonts w:ascii="FangSong" w:hAnsi="FangSong" w:eastAsia="FangSong" w:cs="FangSong"/>
          <w:sz w:val="28"/>
          <w:szCs w:val="28"/>
          <w:color w:val="3C5874"/>
          <w:spacing w:val="24"/>
          <w:position w:val="21"/>
        </w:rPr>
        <w:t>对待”</w:t>
      </w:r>
    </w:p>
    <w:p>
      <w:pPr>
        <w:ind w:left="1659"/>
        <w:spacing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color w:val="3C5874"/>
          <w:spacing w:val="25"/>
        </w:rPr>
        <w:t>政策的通知》(国卫办科教发〔2021〕18号)</w:t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spacing w:line="266" w:lineRule="auto"/>
        <w:rPr>
          <w:rFonts w:ascii="Arial"/>
          <w:sz w:val="21"/>
        </w:rPr>
      </w:pPr>
      <w:r/>
    </w:p>
    <w:p>
      <w:pPr>
        <w:ind w:left="4909"/>
        <w:spacing w:before="92" w:line="222" w:lineRule="auto"/>
        <w:rPr>
          <w:rFonts w:ascii="FangSong" w:hAnsi="FangSong" w:eastAsia="FangSong" w:cs="FangSong"/>
          <w:sz w:val="28"/>
          <w:szCs w:val="28"/>
        </w:rPr>
      </w:pPr>
      <w:r>
        <w:pict>
          <v:shape id="_x0000_s2" style="position:absolute;margin-left:65.9998pt;margin-top:-6.4109pt;mso-position-vertical-relative:text;mso-position-horizontal-relative:text;width:107.9pt;height:37.7pt;z-index:251658240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470" w:right="20" w:hanging="450"/>
                    <w:spacing w:before="20" w:line="235" w:lineRule="auto"/>
                    <w:rPr>
                      <w:rFonts w:ascii="FangSong" w:hAnsi="FangSong" w:eastAsia="FangSong" w:cs="FangSong"/>
                      <w:sz w:val="28"/>
                      <w:szCs w:val="28"/>
                    </w:rPr>
                  </w:pPr>
                  <w:r>
                    <w:rPr>
                      <w:rFonts w:ascii="FangSong" w:hAnsi="FangSong" w:eastAsia="FangSong" w:cs="FangSong"/>
                      <w:sz w:val="28"/>
                      <w:szCs w:val="28"/>
                      <w:spacing w:val="22"/>
                    </w:rPr>
                    <w:t>河北省卫生健康</w:t>
                  </w:r>
                  <w:r>
                    <w:rPr>
                      <w:rFonts w:ascii="FangSong" w:hAnsi="FangSong" w:eastAsia="FangSong" w:cs="FangSong"/>
                      <w:sz w:val="28"/>
                      <w:szCs w:val="28"/>
                      <w:spacing w:val="2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8"/>
                      <w:szCs w:val="28"/>
                      <w:spacing w:val="19"/>
                    </w:rPr>
                    <w:t>员会办公室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3225829</wp:posOffset>
            </wp:positionH>
            <wp:positionV relativeFrom="paragraph">
              <wp:posOffset>-823796</wp:posOffset>
            </wp:positionV>
            <wp:extent cx="1517647" cy="1549366"/>
            <wp:effectExtent l="0" t="0" r="0" b="0"/>
            <wp:wrapNone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7647" cy="154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8"/>
          <w:szCs w:val="28"/>
          <w:spacing w:val="24"/>
        </w:rPr>
        <w:t>河北省公安厅办公室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ind w:left="4989"/>
        <w:spacing w:before="91" w:line="222" w:lineRule="auto"/>
        <w:rPr>
          <w:rFonts w:ascii="FangSong" w:hAnsi="FangSong" w:eastAsia="FangSong" w:cs="FangSong"/>
          <w:sz w:val="28"/>
          <w:szCs w:val="28"/>
        </w:rPr>
      </w:pPr>
      <w:r>
        <w:pict>
          <v:shape id="_x0000_s4" style="position:absolute;margin-left:65.9998pt;margin-top:-45.9406pt;mso-position-vertical-relative:text;mso-position-horizontal-relative:text;width:124.05pt;height:37.65pt;z-index:251660288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 w:right="20"/>
                    <w:spacing w:before="20" w:line="235" w:lineRule="auto"/>
                    <w:rPr>
                      <w:rFonts w:ascii="FangSong" w:hAnsi="FangSong" w:eastAsia="FangSong" w:cs="FangSong"/>
                      <w:sz w:val="28"/>
                      <w:szCs w:val="28"/>
                    </w:rPr>
                  </w:pPr>
                  <w:r>
                    <w:rPr>
                      <w:rFonts w:ascii="FangSong" w:hAnsi="FangSong" w:eastAsia="FangSong" w:cs="FangSong"/>
                      <w:sz w:val="28"/>
                      <w:szCs w:val="28"/>
                      <w:spacing w:val="25"/>
                    </w:rPr>
                    <w:t>河北省人力资源和</w:t>
                  </w:r>
                  <w:r>
                    <w:rPr>
                      <w:rFonts w:ascii="FangSong" w:hAnsi="FangSong" w:eastAsia="FangSong" w:cs="FangSong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8"/>
                      <w:szCs w:val="28"/>
                      <w:spacing w:val="24"/>
                    </w:rPr>
                    <w:t>社会保障厅办公室</w:t>
                  </w:r>
                </w:p>
              </w:txbxContent>
            </v:textbox>
          </v:shape>
        </w:pict>
      </w:r>
      <w:r>
        <w:pict>
          <v:shape id="_x0000_s6" style="position:absolute;margin-left:263.498pt;margin-top:-45.4354pt;mso-position-vertical-relative:text;mso-position-horizontal-relative:text;width:92.05pt;height:38pt;z-index:251662336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9" w:right="20" w:hanging="9"/>
                    <w:spacing w:before="20" w:line="237" w:lineRule="auto"/>
                    <w:rPr>
                      <w:rFonts w:ascii="FangSong" w:hAnsi="FangSong" w:eastAsia="FangSong" w:cs="FangSong"/>
                      <w:sz w:val="28"/>
                      <w:szCs w:val="28"/>
                    </w:rPr>
                  </w:pPr>
                  <w:r>
                    <w:rPr>
                      <w:rFonts w:ascii="FangSong" w:hAnsi="FangSong" w:eastAsia="FangSong" w:cs="FangSong"/>
                      <w:sz w:val="28"/>
                      <w:szCs w:val="28"/>
                      <w:spacing w:val="20"/>
                    </w:rPr>
                    <w:t>河北省中医药</w:t>
                  </w:r>
                  <w:r>
                    <w:rPr>
                      <w:rFonts w:ascii="FangSong" w:hAnsi="FangSong" w:eastAsia="FangSong" w:cs="FangSong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FangSong" w:hAnsi="FangSong" w:eastAsia="FangSong" w:cs="FangSong"/>
                      <w:sz w:val="28"/>
                      <w:szCs w:val="28"/>
                      <w:spacing w:val="18"/>
                    </w:rPr>
                    <w:t>管理局综合处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3181321</wp:posOffset>
            </wp:positionH>
            <wp:positionV relativeFrom="paragraph">
              <wp:posOffset>-1217927</wp:posOffset>
            </wp:positionV>
            <wp:extent cx="1536689" cy="1562091"/>
            <wp:effectExtent l="0" t="0" r="0" b="0"/>
            <wp:wrapNone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36689" cy="1562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8"/>
          <w:szCs w:val="28"/>
          <w:spacing w:val="34"/>
        </w:rPr>
        <w:t>2021,年11月16日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left="730"/>
        <w:spacing w:before="92" w:line="222" w:lineRule="auto"/>
        <w:rPr>
          <w:rFonts w:ascii="FangSong" w:hAnsi="FangSong" w:eastAsia="FangSong" w:cs="FangSong"/>
          <w:sz w:val="28"/>
          <w:szCs w:val="28"/>
        </w:rPr>
      </w:pPr>
      <w:r>
        <w:rPr>
          <w:rFonts w:ascii="FangSong" w:hAnsi="FangSong" w:eastAsia="FangSong" w:cs="FangSong"/>
          <w:sz w:val="28"/>
          <w:szCs w:val="28"/>
          <w:color w:val="2E4C5C"/>
          <w:spacing w:val="25"/>
        </w:rPr>
        <w:t>(信息公开形式：主动公开)</w:t>
      </w:r>
    </w:p>
    <w:p>
      <w:pPr>
        <w:spacing w:line="222" w:lineRule="auto"/>
        <w:sectPr>
          <w:footerReference w:type="default" r:id="rId2"/>
          <w:pgSz w:w="11900" w:h="16840"/>
          <w:pgMar w:top="1431" w:right="1566" w:bottom="1986" w:left="1340" w:header="0" w:footer="1708" w:gutter="0"/>
        </w:sectPr>
        <w:rPr>
          <w:rFonts w:ascii="FangSong" w:hAnsi="FangSong" w:eastAsia="FangSong" w:cs="FangSong"/>
          <w:sz w:val="28"/>
          <w:szCs w:val="28"/>
        </w:rPr>
      </w:pPr>
    </w:p>
    <w:p>
      <w:pPr>
        <w:spacing w:line="311" w:lineRule="auto"/>
        <w:rPr>
          <w:rFonts w:ascii="Arial"/>
          <w:sz w:val="21"/>
        </w:rPr>
      </w:pPr>
      <w:r/>
    </w:p>
    <w:p>
      <w:pPr>
        <w:ind w:left="4"/>
        <w:spacing w:before="120" w:line="224" w:lineRule="auto"/>
        <w:rPr>
          <w:rFonts w:ascii="SimHei" w:hAnsi="SimHei" w:eastAsia="SimHei" w:cs="SimHei"/>
          <w:sz w:val="37"/>
          <w:szCs w:val="37"/>
        </w:rPr>
      </w:pPr>
      <w:r>
        <w:rPr>
          <w:rFonts w:ascii="SimHei" w:hAnsi="SimHei" w:eastAsia="SimHei" w:cs="SimHei"/>
          <w:sz w:val="37"/>
          <w:szCs w:val="37"/>
          <w:b/>
          <w:bCs/>
          <w:color w:val="226389"/>
          <w:spacing w:val="-23"/>
          <w:w w:val="96"/>
        </w:rPr>
        <w:t>附件</w:t>
      </w:r>
    </w:p>
    <w:p>
      <w:pPr>
        <w:spacing w:before="28"/>
        <w:rPr/>
      </w:pPr>
      <w:r/>
    </w:p>
    <w:p>
      <w:pPr>
        <w:spacing w:before="28"/>
        <w:rPr/>
      </w:pPr>
      <w:r/>
    </w:p>
    <w:p>
      <w:pPr>
        <w:sectPr>
          <w:footerReference w:type="default" r:id="rId7"/>
          <w:pgSz w:w="11900" w:h="16840"/>
          <w:pgMar w:top="1431" w:right="1785" w:bottom="1953" w:left="1420" w:header="0" w:footer="1665" w:gutter="0"/>
          <w:cols w:equalWidth="0" w:num="1">
            <w:col w:w="8695" w:space="0"/>
          </w:cols>
        </w:sectPr>
        <w:rPr/>
      </w:pPr>
    </w:p>
    <w:p>
      <w:pPr>
        <w:pStyle w:val="BodyText"/>
        <w:ind w:left="307" w:right="209"/>
        <w:spacing w:before="172" w:line="199" w:lineRule="auto"/>
        <w:jc w:val="both"/>
        <w:rPr>
          <w:sz w:val="71"/>
          <w:szCs w:val="71"/>
        </w:rPr>
      </w:pPr>
      <w:r>
        <w:rPr>
          <w:sz w:val="64"/>
          <w:szCs w:val="64"/>
          <w:b/>
          <w:bCs/>
          <w:color w:val="206086"/>
          <w:spacing w:val="-61"/>
          <w:w w:val="92"/>
        </w:rPr>
        <w:t>国家卫生健康委员会办公厅</w:t>
      </w:r>
      <w:r>
        <w:rPr>
          <w:sz w:val="64"/>
          <w:szCs w:val="64"/>
          <w:color w:val="206086"/>
          <w:spacing w:val="6"/>
        </w:rPr>
        <w:t xml:space="preserve"> </w:t>
      </w:r>
      <w:r>
        <w:rPr>
          <w:sz w:val="54"/>
          <w:szCs w:val="54"/>
          <w:b/>
          <w:bCs/>
          <w:color w:val="206086"/>
          <w:spacing w:val="-57"/>
        </w:rPr>
        <w:t>公</w:t>
      </w:r>
      <w:r>
        <w:rPr>
          <w:sz w:val="54"/>
          <w:szCs w:val="54"/>
          <w:color w:val="206086"/>
          <w:spacing w:val="64"/>
        </w:rPr>
        <w:t xml:space="preserve">  </w:t>
      </w:r>
      <w:r>
        <w:rPr>
          <w:sz w:val="54"/>
          <w:szCs w:val="54"/>
          <w:b/>
          <w:bCs/>
          <w:color w:val="206086"/>
          <w:spacing w:val="-57"/>
        </w:rPr>
        <w:t>安</w:t>
      </w:r>
      <w:r>
        <w:rPr>
          <w:sz w:val="54"/>
          <w:szCs w:val="54"/>
          <w:color w:val="206086"/>
          <w:spacing w:val="86"/>
        </w:rPr>
        <w:t xml:space="preserve">  </w:t>
      </w:r>
      <w:r>
        <w:rPr>
          <w:sz w:val="54"/>
          <w:szCs w:val="54"/>
          <w:b/>
          <w:bCs/>
          <w:color w:val="206086"/>
          <w:spacing w:val="-57"/>
        </w:rPr>
        <w:t>部</w:t>
      </w:r>
      <w:r>
        <w:rPr>
          <w:sz w:val="54"/>
          <w:szCs w:val="54"/>
          <w:color w:val="206086"/>
          <w:spacing w:val="69"/>
        </w:rPr>
        <w:t xml:space="preserve">  </w:t>
      </w:r>
      <w:r>
        <w:rPr>
          <w:sz w:val="54"/>
          <w:szCs w:val="54"/>
          <w:b/>
          <w:bCs/>
          <w:color w:val="206086"/>
          <w:spacing w:val="-57"/>
        </w:rPr>
        <w:t>办</w:t>
      </w:r>
      <w:r>
        <w:rPr>
          <w:sz w:val="54"/>
          <w:szCs w:val="54"/>
          <w:color w:val="206086"/>
          <w:spacing w:val="96"/>
        </w:rPr>
        <w:t xml:space="preserve">  </w:t>
      </w:r>
      <w:r>
        <w:rPr>
          <w:sz w:val="54"/>
          <w:szCs w:val="54"/>
          <w:b/>
          <w:bCs/>
          <w:color w:val="206086"/>
          <w:spacing w:val="-57"/>
        </w:rPr>
        <w:t>公</w:t>
      </w:r>
      <w:r>
        <w:rPr>
          <w:sz w:val="54"/>
          <w:szCs w:val="54"/>
          <w:color w:val="206086"/>
          <w:spacing w:val="78"/>
        </w:rPr>
        <w:t xml:space="preserve">  </w:t>
      </w:r>
      <w:r>
        <w:rPr>
          <w:sz w:val="54"/>
          <w:szCs w:val="54"/>
          <w:b/>
          <w:bCs/>
          <w:color w:val="206086"/>
          <w:spacing w:val="-57"/>
        </w:rPr>
        <w:t>厅</w:t>
      </w:r>
      <w:r>
        <w:rPr>
          <w:sz w:val="54"/>
          <w:szCs w:val="54"/>
          <w:color w:val="206086"/>
        </w:rPr>
        <w:t xml:space="preserve"> </w:t>
      </w:r>
      <w:r>
        <w:rPr>
          <w:sz w:val="71"/>
          <w:szCs w:val="71"/>
          <w:b/>
          <w:bCs/>
          <w:color w:val="206086"/>
          <w:spacing w:val="-50"/>
          <w:w w:val="75"/>
        </w:rPr>
        <w:t>人力资源和社会保障部办公厅</w:t>
      </w:r>
      <w:r>
        <w:rPr>
          <w:sz w:val="71"/>
          <w:szCs w:val="71"/>
          <w:color w:val="206086"/>
          <w:spacing w:val="50"/>
        </w:rPr>
        <w:t xml:space="preserve"> </w:t>
      </w:r>
      <w:r>
        <w:rPr>
          <w:sz w:val="71"/>
          <w:szCs w:val="71"/>
          <w:b/>
          <w:bCs/>
          <w:color w:val="206086"/>
          <w:spacing w:val="-78"/>
          <w:w w:val="92"/>
        </w:rPr>
        <w:t>国家中医药管理局办公室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spacing w:line="265" w:lineRule="auto"/>
        <w:rPr>
          <w:rFonts w:ascii="Arial"/>
          <w:sz w:val="21"/>
        </w:rPr>
      </w:pPr>
      <w:r/>
    </w:p>
    <w:p>
      <w:pPr>
        <w:pStyle w:val="BodyText"/>
        <w:spacing w:before="279" w:line="219" w:lineRule="auto"/>
        <w:rPr>
          <w:sz w:val="86"/>
          <w:szCs w:val="86"/>
        </w:rPr>
      </w:pPr>
      <w:r>
        <w:rPr>
          <w:sz w:val="86"/>
          <w:szCs w:val="86"/>
          <w:b/>
          <w:bCs/>
          <w:color w:val="246591"/>
          <w:spacing w:val="-67"/>
          <w:w w:val="95"/>
        </w:rPr>
        <w:t>文件</w:t>
      </w:r>
    </w:p>
    <w:p>
      <w:pPr>
        <w:spacing w:line="219" w:lineRule="auto"/>
        <w:sectPr>
          <w:type w:val="continuous"/>
          <w:pgSz w:w="11900" w:h="16840"/>
          <w:pgMar w:top="1431" w:right="1785" w:bottom="1953" w:left="1420" w:header="0" w:footer="1665" w:gutter="0"/>
          <w:cols w:equalWidth="0" w:num="2">
            <w:col w:w="6940" w:space="100"/>
            <w:col w:w="1656" w:space="0"/>
          </w:cols>
        </w:sectPr>
        <w:rPr>
          <w:sz w:val="86"/>
          <w:szCs w:val="86"/>
        </w:rPr>
      </w:pPr>
    </w:p>
    <w:p>
      <w:pPr>
        <w:spacing w:line="411" w:lineRule="auto"/>
        <w:rPr>
          <w:rFonts w:ascii="Arial"/>
          <w:sz w:val="21"/>
        </w:rPr>
      </w:pPr>
      <w:r/>
    </w:p>
    <w:p>
      <w:pPr>
        <w:ind w:left="29"/>
        <w:spacing w:before="110" w:line="222" w:lineRule="auto"/>
        <w:tabs>
          <w:tab w:val="left" w:pos="2650"/>
        </w:tabs>
        <w:rPr>
          <w:rFonts w:ascii="FangSong" w:hAnsi="FangSong" w:eastAsia="FangSong" w:cs="FangSong"/>
          <w:sz w:val="34"/>
          <w:szCs w:val="34"/>
        </w:rPr>
      </w:pPr>
      <w:r>
        <w:rPr>
          <w:rFonts w:ascii="FangSong" w:hAnsi="FangSong" w:eastAsia="FangSong" w:cs="FangSong"/>
          <w:sz w:val="34"/>
          <w:szCs w:val="34"/>
          <w:u w:val="single" w:color="000000"/>
          <w:color w:val="1C6985"/>
        </w:rPr>
        <w:tab/>
      </w:r>
      <w:r>
        <w:rPr>
          <w:rFonts w:ascii="FangSong" w:hAnsi="FangSong" w:eastAsia="FangSong" w:cs="FangSong"/>
          <w:sz w:val="34"/>
          <w:szCs w:val="34"/>
          <w:u w:val="single" w:color="000000"/>
          <w:color w:val="1C6985"/>
          <w:spacing w:val="-50"/>
        </w:rPr>
        <w:t>国卫办科教发〔2021〕18号</w:t>
      </w:r>
      <w:r>
        <w:rPr>
          <w:rFonts w:ascii="FangSong" w:hAnsi="FangSong" w:eastAsia="FangSong" w:cs="FangSong"/>
          <w:sz w:val="34"/>
          <w:szCs w:val="34"/>
          <w:u w:val="single" w:color="000000"/>
          <w:color w:val="1C6985"/>
        </w:rPr>
        <w:t xml:space="preserve">               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1146"/>
        <w:spacing w:before="146" w:line="690" w:lineRule="exact"/>
        <w:rPr>
          <w:sz w:val="45"/>
          <w:szCs w:val="45"/>
        </w:rPr>
      </w:pPr>
      <w:r>
        <w:rPr>
          <w:sz w:val="45"/>
          <w:szCs w:val="45"/>
          <w:b/>
          <w:bCs/>
          <w:color w:val="376177"/>
          <w:spacing w:val="-32"/>
          <w:position w:val="16"/>
        </w:rPr>
        <w:t>关于贯彻落实住院医师规范化培训</w:t>
      </w:r>
    </w:p>
    <w:p>
      <w:pPr>
        <w:pStyle w:val="BodyText"/>
        <w:ind w:left="1560"/>
        <w:spacing w:line="219" w:lineRule="auto"/>
        <w:rPr>
          <w:sz w:val="45"/>
          <w:szCs w:val="45"/>
        </w:rPr>
      </w:pPr>
      <w:r>
        <w:rPr>
          <w:sz w:val="45"/>
          <w:szCs w:val="45"/>
          <w:b/>
          <w:bCs/>
          <w:color w:val="376177"/>
          <w:spacing w:val="-47"/>
        </w:rPr>
        <w:t>“两个同等对待”政策的通知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spacing w:before="108" w:line="221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color w:val="4E7996"/>
          <w:spacing w:val="-44"/>
        </w:rPr>
        <w:t>各省、自治区、直辖市卫生健康委、公安厅(局)</w:t>
      </w:r>
      <w:r>
        <w:rPr>
          <w:rFonts w:ascii="FangSong" w:hAnsi="FangSong" w:eastAsia="FangSong" w:cs="FangSong"/>
          <w:sz w:val="33"/>
          <w:szCs w:val="33"/>
          <w:color w:val="4E7996"/>
          <w:spacing w:val="-45"/>
        </w:rPr>
        <w:t>、人力资源社会保障</w:t>
      </w:r>
    </w:p>
    <w:p>
      <w:pPr>
        <w:spacing w:before="179" w:line="222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color w:val="416882"/>
          <w:spacing w:val="-44"/>
        </w:rPr>
        <w:t>厅(局)、中医药局，新疆生产建设兵团卫生健康委、公安局、人力资</w:t>
      </w:r>
    </w:p>
    <w:p>
      <w:pPr>
        <w:spacing w:before="169" w:line="221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color w:val="4E7996"/>
          <w:spacing w:val="-29"/>
        </w:rPr>
        <w:t>源社会保障局：</w:t>
      </w:r>
    </w:p>
    <w:p>
      <w:pPr>
        <w:ind w:right="89" w:firstLine="629"/>
        <w:spacing w:before="215" w:line="324" w:lineRule="auto"/>
        <w:jc w:val="both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color w:val="2D4F66"/>
          <w:spacing w:val="-37"/>
        </w:rPr>
        <w:t>为健全住院医师规范化培训(以下简称住培)制</w:t>
      </w:r>
      <w:r>
        <w:rPr>
          <w:rFonts w:ascii="FangSong" w:hAnsi="FangSong" w:eastAsia="FangSong" w:cs="FangSong"/>
          <w:sz w:val="33"/>
          <w:szCs w:val="33"/>
          <w:color w:val="2D4F66"/>
          <w:spacing w:val="-38"/>
        </w:rPr>
        <w:t>度，落实《国务</w:t>
      </w:r>
      <w:r>
        <w:rPr>
          <w:rFonts w:ascii="FangSong" w:hAnsi="FangSong" w:eastAsia="FangSong" w:cs="FangSong"/>
          <w:sz w:val="33"/>
          <w:szCs w:val="33"/>
          <w:color w:val="2D4F66"/>
          <w:spacing w:val="-38"/>
        </w:rPr>
        <w:t xml:space="preserve"> </w:t>
      </w:r>
      <w:r>
        <w:rPr>
          <w:rFonts w:ascii="FangSong" w:hAnsi="FangSong" w:eastAsia="FangSong" w:cs="FangSong"/>
          <w:sz w:val="33"/>
          <w:szCs w:val="33"/>
          <w:color w:val="2D4F66"/>
          <w:spacing w:val="-35"/>
        </w:rPr>
        <w:t>院办公厅关于加快医学教育创新发展的指导意</w:t>
      </w:r>
      <w:r>
        <w:rPr>
          <w:rFonts w:ascii="FangSong" w:hAnsi="FangSong" w:eastAsia="FangSong" w:cs="FangSong"/>
          <w:sz w:val="33"/>
          <w:szCs w:val="33"/>
          <w:color w:val="2D4F66"/>
          <w:spacing w:val="-36"/>
        </w:rPr>
        <w:t>见》(国办发〔2020〕</w:t>
      </w:r>
      <w:r>
        <w:rPr>
          <w:rFonts w:ascii="FangSong" w:hAnsi="FangSong" w:eastAsia="FangSong" w:cs="FangSong"/>
          <w:sz w:val="33"/>
          <w:szCs w:val="33"/>
          <w:color w:val="2D4F66"/>
        </w:rPr>
        <w:t xml:space="preserve"> </w:t>
      </w:r>
      <w:r>
        <w:rPr>
          <w:rFonts w:ascii="FangSong" w:hAnsi="FangSong" w:eastAsia="FangSong" w:cs="FangSong"/>
          <w:sz w:val="33"/>
          <w:szCs w:val="33"/>
          <w:color w:val="2D4F66"/>
          <w:spacing w:val="-19"/>
        </w:rPr>
        <w:t>34号)提出的“面向社会招收的普通高校应届毕业生</w:t>
      </w:r>
      <w:r>
        <w:rPr>
          <w:rFonts w:ascii="FangSong" w:hAnsi="FangSong" w:eastAsia="FangSong" w:cs="FangSong"/>
          <w:sz w:val="33"/>
          <w:szCs w:val="33"/>
          <w:color w:val="2D4F66"/>
          <w:spacing w:val="-20"/>
        </w:rPr>
        <w:t>培训对象培</w:t>
      </w:r>
    </w:p>
    <w:p>
      <w:pPr>
        <w:spacing w:before="1" w:line="219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color w:val="2D4F66"/>
          <w:spacing w:val="-46"/>
        </w:rPr>
        <w:t>训合格当年在医疗卫生机构就业的，在招聘、派遣、落户等方面，按</w:t>
      </w:r>
    </w:p>
    <w:p>
      <w:pPr>
        <w:spacing w:before="190" w:line="221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color w:val="335570"/>
          <w:spacing w:val="-23"/>
        </w:rPr>
        <w:t>当年应届毕业生同等对待。对经住培合格的本科学历临床医师，</w:t>
      </w:r>
    </w:p>
    <w:p>
      <w:pPr>
        <w:spacing w:before="183" w:line="189" w:lineRule="auto"/>
        <w:rPr>
          <w:rFonts w:ascii="FangSong" w:hAnsi="FangSong" w:eastAsia="FangSong" w:cs="FangSong"/>
          <w:sz w:val="33"/>
          <w:szCs w:val="33"/>
        </w:rPr>
      </w:pPr>
      <w:r>
        <w:rPr>
          <w:rFonts w:ascii="FangSong" w:hAnsi="FangSong" w:eastAsia="FangSong" w:cs="FangSong"/>
          <w:sz w:val="33"/>
          <w:szCs w:val="33"/>
          <w:color w:val="2D4F66"/>
          <w:spacing w:val="-41"/>
        </w:rPr>
        <w:t>在人员招聘、职称晋升、岗位聘用、薪酬待遇等方面，与临</w:t>
      </w:r>
      <w:r>
        <w:rPr>
          <w:rFonts w:ascii="FangSong" w:hAnsi="FangSong" w:eastAsia="FangSong" w:cs="FangSong"/>
          <w:sz w:val="33"/>
          <w:szCs w:val="33"/>
          <w:color w:val="2D4F66"/>
          <w:spacing w:val="-42"/>
        </w:rPr>
        <w:t>床医学、</w:t>
      </w:r>
    </w:p>
    <w:p>
      <w:pPr>
        <w:spacing w:line="189" w:lineRule="auto"/>
        <w:sectPr>
          <w:type w:val="continuous"/>
          <w:pgSz w:w="11900" w:h="16840"/>
          <w:pgMar w:top="1431" w:right="1785" w:bottom="1953" w:left="1420" w:header="0" w:footer="1665" w:gutter="0"/>
          <w:cols w:equalWidth="0" w:num="1">
            <w:col w:w="8695" w:space="0"/>
          </w:cols>
        </w:sectPr>
        <w:rPr>
          <w:rFonts w:ascii="FangSong" w:hAnsi="FangSong" w:eastAsia="FangSong" w:cs="FangSong"/>
          <w:sz w:val="33"/>
          <w:szCs w:val="33"/>
        </w:rPr>
      </w:pPr>
    </w:p>
    <w:p>
      <w:pPr>
        <w:spacing w:line="293" w:lineRule="auto"/>
        <w:rPr>
          <w:rFonts w:ascii="Arial"/>
          <w:sz w:val="21"/>
        </w:rPr>
      </w:pPr>
      <w:r/>
    </w:p>
    <w:p>
      <w:pPr>
        <w:spacing w:line="293" w:lineRule="auto"/>
        <w:rPr>
          <w:rFonts w:ascii="Arial"/>
          <w:sz w:val="21"/>
        </w:rPr>
      </w:pPr>
      <w:r/>
    </w:p>
    <w:p>
      <w:pPr>
        <w:spacing w:before="95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spacing w:val="-4"/>
        </w:rPr>
        <w:t>中医专业学位硕士研究生同等对待”(以下简称“两个同等对待”),</w:t>
      </w:r>
    </w:p>
    <w:p>
      <w:pPr>
        <w:ind w:right="248"/>
        <w:spacing w:before="242" w:line="376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236592"/>
          <w:spacing w:val="10"/>
        </w:rPr>
        <w:t>以及《国务院办公厅关于印发深化医药卫生体制改革20</w:t>
      </w:r>
      <w:r>
        <w:rPr>
          <w:rFonts w:ascii="FangSong" w:hAnsi="FangSong" w:eastAsia="FangSong" w:cs="FangSong"/>
          <w:sz w:val="29"/>
          <w:szCs w:val="29"/>
          <w:color w:val="236592"/>
          <w:spacing w:val="9"/>
        </w:rPr>
        <w:t>21年重点</w:t>
      </w:r>
      <w:r>
        <w:rPr>
          <w:rFonts w:ascii="FangSong" w:hAnsi="FangSong" w:eastAsia="FangSong" w:cs="FangSong"/>
          <w:sz w:val="29"/>
          <w:szCs w:val="29"/>
          <w:color w:val="236592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236592"/>
          <w:spacing w:val="2"/>
        </w:rPr>
        <w:t>工作任务的通知》(国办发〔2021〕20号)要</w:t>
      </w:r>
      <w:r>
        <w:rPr>
          <w:rFonts w:ascii="FangSong" w:hAnsi="FangSong" w:eastAsia="FangSong" w:cs="FangSong"/>
          <w:sz w:val="29"/>
          <w:szCs w:val="29"/>
          <w:color w:val="236592"/>
          <w:spacing w:val="1"/>
        </w:rPr>
        <w:t>求，保障住院医师合理</w:t>
      </w:r>
    </w:p>
    <w:p>
      <w:pPr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236592"/>
          <w:spacing w:val="-4"/>
        </w:rPr>
        <w:t>待遇，增强住院医师获得感，现就有关事项通知如下：</w:t>
      </w:r>
    </w:p>
    <w:p>
      <w:pPr>
        <w:ind w:left="604"/>
        <w:spacing w:before="238" w:line="221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color w:val="226E9A"/>
          <w:spacing w:val="-6"/>
        </w:rPr>
        <w:t>一</w:t>
      </w:r>
      <w:r>
        <w:rPr>
          <w:rFonts w:ascii="SimHei" w:hAnsi="SimHei" w:eastAsia="SimHei" w:cs="SimHei"/>
          <w:sz w:val="29"/>
          <w:szCs w:val="29"/>
          <w:color w:val="226E9A"/>
          <w:spacing w:val="-79"/>
        </w:rPr>
        <w:t xml:space="preserve"> </w:t>
      </w:r>
      <w:r>
        <w:rPr>
          <w:rFonts w:ascii="SimHei" w:hAnsi="SimHei" w:eastAsia="SimHei" w:cs="SimHei"/>
          <w:sz w:val="29"/>
          <w:szCs w:val="29"/>
          <w:b/>
          <w:bCs/>
          <w:color w:val="226E9A"/>
          <w:spacing w:val="-6"/>
        </w:rPr>
        <w:t>、强化就业指导服务和权益保护</w:t>
      </w:r>
    </w:p>
    <w:p>
      <w:pPr>
        <w:ind w:right="101" w:firstLine="600"/>
        <w:spacing w:before="250" w:line="369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145779"/>
          <w:spacing w:val="12"/>
        </w:rPr>
        <w:t>各地人力资源社会保障部门要根据经住培合格的本科学历临</w:t>
      </w:r>
      <w:r>
        <w:rPr>
          <w:rFonts w:ascii="FangSong" w:hAnsi="FangSong" w:eastAsia="FangSong" w:cs="FangSong"/>
          <w:sz w:val="29"/>
          <w:szCs w:val="29"/>
          <w:color w:val="145779"/>
          <w:spacing w:val="9"/>
        </w:rPr>
        <w:t xml:space="preserve">  </w:t>
      </w:r>
      <w:r>
        <w:rPr>
          <w:rFonts w:ascii="FangSong" w:hAnsi="FangSong" w:eastAsia="FangSong" w:cs="FangSong"/>
          <w:sz w:val="29"/>
          <w:szCs w:val="29"/>
          <w:color w:val="145779"/>
          <w:spacing w:val="2"/>
        </w:rPr>
        <w:t>床医师就业需求，提供针对性就业指导，推荐合适的就业机会。各</w:t>
      </w:r>
      <w:r>
        <w:rPr>
          <w:rFonts w:ascii="FangSong" w:hAnsi="FangSong" w:eastAsia="FangSong" w:cs="FangSong"/>
          <w:sz w:val="29"/>
          <w:szCs w:val="29"/>
          <w:color w:val="145779"/>
        </w:rPr>
        <w:t xml:space="preserve">  </w:t>
      </w:r>
      <w:r>
        <w:rPr>
          <w:rFonts w:ascii="FangSong" w:hAnsi="FangSong" w:eastAsia="FangSong" w:cs="FangSong"/>
          <w:sz w:val="29"/>
          <w:szCs w:val="29"/>
          <w:color w:val="145779"/>
          <w:spacing w:val="2"/>
        </w:rPr>
        <w:t>级卫生健康、公安、人力资源社会保障、中医药主管部门要指导各</w:t>
      </w:r>
      <w:r>
        <w:rPr>
          <w:rFonts w:ascii="FangSong" w:hAnsi="FangSong" w:eastAsia="FangSong" w:cs="FangSong"/>
          <w:sz w:val="29"/>
          <w:szCs w:val="29"/>
          <w:color w:val="145779"/>
        </w:rPr>
        <w:t xml:space="preserve">  </w:t>
      </w:r>
      <w:r>
        <w:rPr>
          <w:rFonts w:ascii="FangSong" w:hAnsi="FangSong" w:eastAsia="FangSong" w:cs="FangSong"/>
          <w:sz w:val="29"/>
          <w:szCs w:val="29"/>
          <w:color w:val="145779"/>
          <w:spacing w:val="17"/>
        </w:rPr>
        <w:t>级医疗卫生机构向经住培合格的本科学历临床医师与临床医</w:t>
      </w:r>
      <w:r>
        <w:rPr>
          <w:rFonts w:ascii="FangSong" w:hAnsi="FangSong" w:eastAsia="FangSong" w:cs="FangSong"/>
          <w:sz w:val="29"/>
          <w:szCs w:val="29"/>
          <w:color w:val="145779"/>
          <w:spacing w:val="16"/>
        </w:rPr>
        <w:t>学、</w:t>
      </w:r>
      <w:r>
        <w:rPr>
          <w:rFonts w:ascii="FangSong" w:hAnsi="FangSong" w:eastAsia="FangSong" w:cs="FangSong"/>
          <w:sz w:val="29"/>
          <w:szCs w:val="29"/>
          <w:color w:val="145779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145779"/>
          <w:spacing w:val="4"/>
        </w:rPr>
        <w:t>口腔医学、中医专业学位硕士研究生提供平等就业机会，在招聘简</w:t>
      </w:r>
      <w:r>
        <w:rPr>
          <w:rFonts w:ascii="FangSong" w:hAnsi="FangSong" w:eastAsia="FangSong" w:cs="FangSong"/>
          <w:sz w:val="29"/>
          <w:szCs w:val="29"/>
          <w:color w:val="145779"/>
          <w:spacing w:val="4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145779"/>
          <w:spacing w:val="12"/>
        </w:rPr>
        <w:t>章中应当明确“面向社会招收的住院医师如为普通高校应届毕业</w:t>
      </w:r>
      <w:r>
        <w:rPr>
          <w:rFonts w:ascii="FangSong" w:hAnsi="FangSong" w:eastAsia="FangSong" w:cs="FangSong"/>
          <w:sz w:val="29"/>
          <w:szCs w:val="29"/>
          <w:color w:val="145779"/>
          <w:spacing w:val="5"/>
        </w:rPr>
        <w:t xml:space="preserve">  </w:t>
      </w:r>
      <w:r>
        <w:rPr>
          <w:rFonts w:ascii="FangSong" w:hAnsi="FangSong" w:eastAsia="FangSong" w:cs="FangSong"/>
          <w:sz w:val="29"/>
          <w:szCs w:val="29"/>
          <w:color w:val="145779"/>
          <w:spacing w:val="2"/>
        </w:rPr>
        <w:t>生的，其住培合格当年在医疗卫生机构就业，按当年应届毕业生同</w:t>
      </w:r>
      <w:r>
        <w:rPr>
          <w:rFonts w:ascii="FangSong" w:hAnsi="FangSong" w:eastAsia="FangSong" w:cs="FangSong"/>
          <w:sz w:val="29"/>
          <w:szCs w:val="29"/>
          <w:color w:val="145779"/>
          <w:spacing w:val="2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145779"/>
          <w:spacing w:val="2"/>
        </w:rPr>
        <w:t>等对待”“经住培合格的本科学历临床医师，按临床医学、口腔医</w:t>
      </w:r>
      <w:r>
        <w:rPr>
          <w:rFonts w:ascii="FangSong" w:hAnsi="FangSong" w:eastAsia="FangSong" w:cs="FangSong"/>
          <w:sz w:val="29"/>
          <w:szCs w:val="29"/>
          <w:color w:val="145779"/>
          <w:spacing w:val="5"/>
        </w:rPr>
        <w:t xml:space="preserve">  </w:t>
      </w:r>
      <w:r>
        <w:rPr>
          <w:rFonts w:ascii="FangSong" w:hAnsi="FangSong" w:eastAsia="FangSong" w:cs="FangSong"/>
          <w:sz w:val="29"/>
          <w:szCs w:val="29"/>
          <w:color w:val="145779"/>
          <w:spacing w:val="7"/>
        </w:rPr>
        <w:t>学、中医专业学位硕士研究生同等对待”,并纳入岗位报考具体条</w:t>
      </w:r>
      <w:r>
        <w:rPr>
          <w:rFonts w:ascii="FangSong" w:hAnsi="FangSong" w:eastAsia="FangSong" w:cs="FangSong"/>
          <w:sz w:val="29"/>
          <w:szCs w:val="29"/>
          <w:color w:val="145779"/>
          <w:spacing w:val="1"/>
        </w:rPr>
        <w:t xml:space="preserve">  </w:t>
      </w:r>
      <w:r>
        <w:rPr>
          <w:rFonts w:ascii="FangSong" w:hAnsi="FangSong" w:eastAsia="FangSong" w:cs="FangSong"/>
          <w:sz w:val="29"/>
          <w:szCs w:val="29"/>
          <w:color w:val="145779"/>
          <w:spacing w:val="18"/>
        </w:rPr>
        <w:t>件(其中住培合格证书中的培训专业原则上应</w:t>
      </w:r>
      <w:r>
        <w:rPr>
          <w:rFonts w:ascii="FangSong" w:hAnsi="FangSong" w:eastAsia="FangSong" w:cs="FangSong"/>
          <w:sz w:val="29"/>
          <w:szCs w:val="29"/>
          <w:color w:val="145779"/>
          <w:spacing w:val="17"/>
        </w:rPr>
        <w:t>当与招聘岗位的专</w:t>
      </w:r>
      <w:r>
        <w:rPr>
          <w:rFonts w:ascii="FangSong" w:hAnsi="FangSong" w:eastAsia="FangSong" w:cs="FangSong"/>
          <w:sz w:val="29"/>
          <w:szCs w:val="29"/>
          <w:color w:val="145779"/>
          <w:spacing w:val="17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145779"/>
          <w:spacing w:val="7"/>
        </w:rPr>
        <w:t>业或类别要求相一致),并将同等对待落实到资格审</w:t>
      </w:r>
      <w:r>
        <w:rPr>
          <w:rFonts w:ascii="FangSong" w:hAnsi="FangSong" w:eastAsia="FangSong" w:cs="FangSong"/>
          <w:sz w:val="29"/>
          <w:szCs w:val="29"/>
          <w:color w:val="145779"/>
          <w:spacing w:val="6"/>
        </w:rPr>
        <w:t>查、考试考察、</w:t>
      </w:r>
    </w:p>
    <w:p>
      <w:pPr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145779"/>
          <w:spacing w:val="-13"/>
        </w:rPr>
        <w:t>聘用、派遣、落户等各个环节。</w:t>
      </w:r>
    </w:p>
    <w:p>
      <w:pPr>
        <w:ind w:left="604"/>
        <w:spacing w:before="299" w:line="221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color w:val="064D6C"/>
          <w:spacing w:val="-7"/>
        </w:rPr>
        <w:t>二、保障职业发展权益</w:t>
      </w:r>
    </w:p>
    <w:p>
      <w:pPr>
        <w:ind w:left="600"/>
        <w:spacing w:before="224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1C5E80"/>
          <w:spacing w:val="3"/>
        </w:rPr>
        <w:t>各级卫生健康、人力资源社会保障、中医药主管部门要指导各</w:t>
      </w:r>
    </w:p>
    <w:p>
      <w:pPr>
        <w:spacing w:before="231" w:line="584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41667C"/>
          <w:spacing w:val="24"/>
          <w:position w:val="22"/>
        </w:rPr>
        <w:t>级医疗卫生机构在中级及以上专业技术职称申报与评审条件设</w:t>
      </w:r>
    </w:p>
    <w:p>
      <w:pPr>
        <w:spacing w:before="1"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41667C"/>
          <w:spacing w:val="-6"/>
        </w:rPr>
        <w:t>置、岗位条件设置、岗位等级聘用时，突出人才评价品德、能力、业</w:t>
      </w:r>
    </w:p>
    <w:p>
      <w:pPr>
        <w:spacing w:before="231" w:line="222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1C5E80"/>
          <w:spacing w:val="14"/>
        </w:rPr>
        <w:t>绩导向，将经住培合格的本科学历临床医师与临床医学、口腔医</w:t>
      </w:r>
    </w:p>
    <w:p>
      <w:pPr>
        <w:spacing w:line="222" w:lineRule="auto"/>
        <w:sectPr>
          <w:footerReference w:type="default" r:id="rId8"/>
          <w:pgSz w:w="12090" w:h="16970"/>
          <w:pgMar w:top="1442" w:right="1813" w:bottom="1993" w:left="1559" w:header="0" w:footer="1705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476" w:lineRule="auto"/>
        <w:rPr>
          <w:rFonts w:ascii="Arial"/>
          <w:sz w:val="21"/>
        </w:rPr>
      </w:pPr>
      <w:r>
        <w:drawing>
          <wp:anchor distT="0" distB="0" distL="0" distR="0" simplePos="0" relativeHeight="251680768" behindDoc="0" locked="0" layoutInCell="0" allowOverlap="1">
            <wp:simplePos x="0" y="0"/>
            <wp:positionH relativeFrom="page">
              <wp:posOffset>4159248</wp:posOffset>
            </wp:positionH>
            <wp:positionV relativeFrom="page">
              <wp:posOffset>7639043</wp:posOffset>
            </wp:positionV>
            <wp:extent cx="1581122" cy="1625610"/>
            <wp:effectExtent l="0" t="0" r="0" b="0"/>
            <wp:wrapNone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1122" cy="1625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right="175"/>
        <w:spacing w:before="94" w:line="370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22618C"/>
          <w:spacing w:val="1"/>
        </w:rPr>
        <w:t>学、中医专业学位硕士研究生同等对待，并落实到资格审查、考试</w:t>
      </w:r>
      <w:r>
        <w:rPr>
          <w:rFonts w:ascii="FangSong" w:hAnsi="FangSong" w:eastAsia="FangSong" w:cs="FangSong"/>
          <w:sz w:val="29"/>
          <w:szCs w:val="29"/>
          <w:color w:val="22618C"/>
          <w:spacing w:val="10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22618C"/>
          <w:spacing w:val="2"/>
        </w:rPr>
        <w:t>考核、岗位聘用等各个环节；在确定住院医师薪酬待遇时，对经住</w:t>
      </w:r>
      <w:r>
        <w:rPr>
          <w:rFonts w:ascii="FangSong" w:hAnsi="FangSong" w:eastAsia="FangSong" w:cs="FangSong"/>
          <w:sz w:val="29"/>
          <w:szCs w:val="29"/>
          <w:color w:val="22618C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22618C"/>
          <w:spacing w:val="1"/>
        </w:rPr>
        <w:t>培合格的本科学历临床医师，按照临床医学、口腔医学、中医专业</w:t>
      </w:r>
    </w:p>
    <w:p>
      <w:pPr>
        <w:spacing w:line="221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22618C"/>
          <w:spacing w:val="9"/>
        </w:rPr>
        <w:t>学位硕士研究生对应的标准同等对待。</w:t>
      </w:r>
    </w:p>
    <w:p>
      <w:pPr>
        <w:ind w:left="674"/>
        <w:spacing w:before="248" w:line="221" w:lineRule="auto"/>
        <w:outlineLvl w:val="0"/>
        <w:rPr>
          <w:rFonts w:ascii="SimHei" w:hAnsi="SimHei" w:eastAsia="SimHei" w:cs="SimHei"/>
          <w:sz w:val="29"/>
          <w:szCs w:val="29"/>
        </w:rPr>
      </w:pPr>
      <w:r>
        <w:rPr>
          <w:rFonts w:ascii="SimHei" w:hAnsi="SimHei" w:eastAsia="SimHei" w:cs="SimHei"/>
          <w:sz w:val="29"/>
          <w:szCs w:val="29"/>
          <w:b/>
          <w:bCs/>
          <w:color w:val="217296"/>
          <w:spacing w:val="-3"/>
        </w:rPr>
        <w:t>三、加强政策宣传引导和责任落实</w:t>
      </w:r>
    </w:p>
    <w:p>
      <w:pPr>
        <w:ind w:right="69" w:firstLine="679"/>
        <w:spacing w:before="226" w:line="369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1D6889"/>
          <w:spacing w:val="6"/>
        </w:rPr>
        <w:t>落实“两个同等对待”,是推动建立适应行业特点的人才培养</w:t>
      </w:r>
      <w:r>
        <w:rPr>
          <w:rFonts w:ascii="FangSong" w:hAnsi="FangSong" w:eastAsia="FangSong" w:cs="FangSong"/>
          <w:sz w:val="29"/>
          <w:szCs w:val="29"/>
          <w:color w:val="1D6889"/>
          <w:spacing w:val="11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1D6889"/>
          <w:spacing w:val="-8"/>
        </w:rPr>
        <w:t>和人事薪酬制度、破除“唯学历”的重要举措，是健全住培制度</w:t>
      </w:r>
      <w:r>
        <w:rPr>
          <w:rFonts w:ascii="FangSong" w:hAnsi="FangSong" w:eastAsia="FangSong" w:cs="FangSong"/>
          <w:sz w:val="29"/>
          <w:szCs w:val="29"/>
          <w:color w:val="1D6889"/>
          <w:spacing w:val="-9"/>
        </w:rPr>
        <w:t>、逐</w:t>
      </w:r>
      <w:r>
        <w:rPr>
          <w:rFonts w:ascii="FangSong" w:hAnsi="FangSong" w:eastAsia="FangSong" w:cs="FangSong"/>
          <w:sz w:val="29"/>
          <w:szCs w:val="29"/>
          <w:color w:val="1D6889"/>
          <w:spacing w:val="-9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1D6889"/>
          <w:spacing w:val="6"/>
        </w:rPr>
        <w:t>步建立统一规范的毕业后医学教育制度的重</w:t>
      </w:r>
      <w:r>
        <w:rPr>
          <w:rFonts w:ascii="FangSong" w:hAnsi="FangSong" w:eastAsia="FangSong" w:cs="FangSong"/>
          <w:sz w:val="29"/>
          <w:szCs w:val="29"/>
          <w:color w:val="1D6889"/>
          <w:spacing w:val="5"/>
        </w:rPr>
        <w:t>要部署，是深化医改、</w:t>
      </w:r>
    </w:p>
    <w:p>
      <w:pPr>
        <w:spacing w:before="1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1D6889"/>
          <w:spacing w:val="2"/>
        </w:rPr>
        <w:t>建设健康中国的重要内容。各地卫生健康、公安、人力资源社会保</w:t>
      </w:r>
    </w:p>
    <w:p>
      <w:pPr>
        <w:ind w:right="163"/>
        <w:spacing w:before="233" w:line="369" w:lineRule="auto"/>
        <w:jc w:val="both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436881"/>
          <w:spacing w:val="2"/>
        </w:rPr>
        <w:t>障、中医药主管部门要充分认识做好这项工</w:t>
      </w:r>
      <w:r>
        <w:rPr>
          <w:rFonts w:ascii="FangSong" w:hAnsi="FangSong" w:eastAsia="FangSong" w:cs="FangSong"/>
          <w:sz w:val="29"/>
          <w:szCs w:val="29"/>
          <w:color w:val="436881"/>
          <w:spacing w:val="1"/>
        </w:rPr>
        <w:t>作的重要意义，积极宣</w:t>
      </w:r>
      <w:r>
        <w:rPr>
          <w:rFonts w:ascii="FangSong" w:hAnsi="FangSong" w:eastAsia="FangSong" w:cs="FangSong"/>
          <w:sz w:val="29"/>
          <w:szCs w:val="29"/>
          <w:color w:val="436881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436881"/>
          <w:spacing w:val="2"/>
        </w:rPr>
        <w:t>传国家关于落实“两个同等对待”的政策，指导各级医疗卫生机构</w:t>
      </w:r>
      <w:r>
        <w:rPr>
          <w:rFonts w:ascii="FangSong" w:hAnsi="FangSong" w:eastAsia="FangSong" w:cs="FangSong"/>
          <w:sz w:val="29"/>
          <w:szCs w:val="29"/>
          <w:color w:val="436881"/>
          <w:spacing w:val="12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436881"/>
          <w:spacing w:val="2"/>
        </w:rPr>
        <w:t>完善相关办法，抓好各项工作落实，为经住培合格的本科学历临床</w:t>
      </w:r>
      <w:r>
        <w:rPr>
          <w:rFonts w:ascii="FangSong" w:hAnsi="FangSong" w:eastAsia="FangSong" w:cs="FangSong"/>
          <w:sz w:val="29"/>
          <w:szCs w:val="29"/>
          <w:color w:val="436881"/>
        </w:rPr>
        <w:t xml:space="preserve"> </w:t>
      </w:r>
      <w:r>
        <w:rPr>
          <w:rFonts w:ascii="FangSong" w:hAnsi="FangSong" w:eastAsia="FangSong" w:cs="FangSong"/>
          <w:sz w:val="29"/>
          <w:szCs w:val="29"/>
          <w:color w:val="436881"/>
          <w:spacing w:val="2"/>
        </w:rPr>
        <w:t>医师就业营造良好环境。国家卫生健康委、公安部、人力资源</w:t>
      </w:r>
      <w:r>
        <w:rPr>
          <w:rFonts w:ascii="FangSong" w:hAnsi="FangSong" w:eastAsia="FangSong" w:cs="FangSong"/>
          <w:sz w:val="29"/>
          <w:szCs w:val="29"/>
          <w:color w:val="436881"/>
          <w:spacing w:val="1"/>
        </w:rPr>
        <w:t>社会</w:t>
      </w:r>
    </w:p>
    <w:p>
      <w:pPr>
        <w:spacing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436881"/>
          <w:spacing w:val="2"/>
        </w:rPr>
        <w:t>保障部、国家中医药局将加强指导评估，将本项工作纳入公立医院</w:t>
      </w:r>
    </w:p>
    <w:p>
      <w:pPr>
        <w:spacing w:before="235" w:line="220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325876"/>
          <w:spacing w:val="12"/>
        </w:rPr>
        <w:t>高质量发展等相关考核，并列入住培基地评估的核心指标。对工</w:t>
      </w:r>
    </w:p>
    <w:p>
      <w:pPr>
        <w:spacing w:before="234" w:line="585" w:lineRule="exact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436881"/>
          <w:spacing w:val="2"/>
          <w:position w:val="22"/>
        </w:rPr>
        <w:t>作落实不到位的，将加大通报力度，并按照有关规定追究相关人员</w:t>
      </w:r>
    </w:p>
    <w:p>
      <w:pPr>
        <w:spacing w:line="223" w:lineRule="auto"/>
        <w:rPr>
          <w:rFonts w:ascii="FangSong" w:hAnsi="FangSong" w:eastAsia="FangSong" w:cs="FangSong"/>
          <w:sz w:val="29"/>
          <w:szCs w:val="29"/>
        </w:rPr>
      </w:pPr>
      <w:r>
        <w:rPr>
          <w:rFonts w:ascii="FangSong" w:hAnsi="FangSong" w:eastAsia="FangSong" w:cs="FangSong"/>
          <w:sz w:val="29"/>
          <w:szCs w:val="29"/>
          <w:color w:val="436881"/>
          <w:spacing w:val="-4"/>
        </w:rPr>
        <w:t>责任。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8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ind w:left="1234"/>
        <w:spacing w:before="95" w:line="222" w:lineRule="auto"/>
        <w:rPr>
          <w:rFonts w:ascii="FangSong" w:hAnsi="FangSong" w:eastAsia="FangSong" w:cs="FangSong"/>
          <w:sz w:val="29"/>
          <w:szCs w:val="29"/>
        </w:rPr>
      </w:pPr>
      <w:r>
        <w:pict>
          <v:shape id="_x0000_s8" style="position:absolute;margin-left:273.497pt;margin-top:3.99018pt;mso-position-vertical-relative:text;mso-position-horizontal-relative:text;width:86.75pt;height:19.25pt;z-index:251679744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pStyle w:val="BodyText"/>
                    <w:ind w:left="20"/>
                    <w:spacing w:before="20" w:line="219" w:lineRule="auto"/>
                    <w:rPr>
                      <w:sz w:val="29"/>
                      <w:szCs w:val="29"/>
                    </w:rPr>
                  </w:pPr>
                  <w:r>
                    <w:rPr>
                      <w:sz w:val="29"/>
                      <w:szCs w:val="29"/>
                      <w:spacing w:val="-7"/>
                    </w:rPr>
                    <w:t>公安部办公斤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971539</wp:posOffset>
            </wp:positionH>
            <wp:positionV relativeFrom="paragraph">
              <wp:posOffset>-1048930</wp:posOffset>
            </wp:positionV>
            <wp:extent cx="1600239" cy="1638335"/>
            <wp:effectExtent l="0" t="0" r="0" b="0"/>
            <wp:wrapNone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00239" cy="163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angSong" w:hAnsi="FangSong" w:eastAsia="FangSong" w:cs="FangSong"/>
          <w:sz w:val="29"/>
          <w:szCs w:val="29"/>
          <w:b/>
          <w:bCs/>
          <w:spacing w:val="-1"/>
        </w:rPr>
        <w:t>国家</w:t>
      </w:r>
      <w:r>
        <w:rPr>
          <w:rFonts w:ascii="FangSong" w:hAnsi="FangSong" w:eastAsia="FangSong" w:cs="FangSong"/>
          <w:sz w:val="29"/>
          <w:szCs w:val="29"/>
          <w:spacing w:val="-68"/>
        </w:rPr>
        <w:t xml:space="preserve"> </w:t>
      </w:r>
      <w:r>
        <w:rPr>
          <w:rFonts w:ascii="FangSong" w:hAnsi="FangSong" w:eastAsia="FangSong" w:cs="FangSong"/>
          <w:sz w:val="29"/>
          <w:szCs w:val="29"/>
          <w:spacing w:val="-1"/>
        </w:rPr>
        <w:t>卫生健康本办公厅</w:t>
      </w:r>
    </w:p>
    <w:p>
      <w:pPr>
        <w:spacing w:line="222" w:lineRule="auto"/>
        <w:sectPr>
          <w:footerReference w:type="default" r:id="rId9"/>
          <w:pgSz w:w="11900" w:h="16840"/>
          <w:pgMar w:top="1431" w:right="1785" w:bottom="1971" w:left="1470" w:header="0" w:footer="1685" w:gutter="0"/>
        </w:sectPr>
        <w:rPr>
          <w:rFonts w:ascii="FangSong" w:hAnsi="FangSong" w:eastAsia="FangSong" w:cs="FangSong"/>
          <w:sz w:val="29"/>
          <w:szCs w:val="29"/>
        </w:rPr>
      </w:pPr>
    </w:p>
    <w:p>
      <w:pPr>
        <w:spacing w:line="251" w:lineRule="auto"/>
        <w:rPr>
          <w:rFonts w:ascii="Arial"/>
          <w:sz w:val="21"/>
        </w:rPr>
      </w:pPr>
      <w:r>
        <w:drawing>
          <wp:anchor distT="0" distB="0" distL="0" distR="0" simplePos="0" relativeHeight="251687936" behindDoc="0" locked="0" layoutInCell="0" allowOverlap="1">
            <wp:simplePos x="0" y="0"/>
            <wp:positionH relativeFrom="page">
              <wp:posOffset>4013181</wp:posOffset>
            </wp:positionH>
            <wp:positionV relativeFrom="page">
              <wp:posOffset>2031958</wp:posOffset>
            </wp:positionV>
            <wp:extent cx="1593892" cy="1612993"/>
            <wp:effectExtent l="0" t="0" r="0" b="0"/>
            <wp:wrapNone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93892" cy="1612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690"/>
        <w:spacing w:before="87" w:line="219" w:lineRule="auto"/>
        <w:rPr>
          <w:sz w:val="27"/>
          <w:szCs w:val="27"/>
        </w:rPr>
      </w:pPr>
      <w:r>
        <w:drawing>
          <wp:anchor distT="0" distB="0" distL="0" distR="0" simplePos="0" relativeHeight="251688960" behindDoc="0" locked="0" layoutInCell="1" allowOverlap="1">
            <wp:simplePos x="0" y="0"/>
            <wp:positionH relativeFrom="column">
              <wp:posOffset>844590</wp:posOffset>
            </wp:positionH>
            <wp:positionV relativeFrom="paragraph">
              <wp:posOffset>-972898</wp:posOffset>
            </wp:positionV>
            <wp:extent cx="1587469" cy="1657370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7469" cy="165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" style="position:absolute;margin-left:245.503pt;margin-top:0.839509pt;mso-position-vertical-relative:text;mso-position-horizontal-relative:text;width:133.8pt;height:49.25pt;z-index:251686912;" filled="false" stroked="false" type="#_x0000_t202">
            <v:fill on="false"/>
            <v:stroke on="false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20"/>
                    <w:spacing w:before="20" w:line="457" w:lineRule="exact"/>
                    <w:rPr>
                      <w:rFonts w:ascii="FangSong" w:hAnsi="FangSong" w:eastAsia="FangSong" w:cs="FangSong"/>
                      <w:sz w:val="27"/>
                      <w:szCs w:val="27"/>
                    </w:rPr>
                  </w:pPr>
                  <w:r>
                    <w:rPr>
                      <w:rFonts w:ascii="FangSong" w:hAnsi="FangSong" w:eastAsia="FangSong" w:cs="FangSong"/>
                      <w:sz w:val="27"/>
                      <w:szCs w:val="27"/>
                      <w:spacing w:val="22"/>
                      <w:position w:val="13"/>
                    </w:rPr>
                    <w:t>国家中医药局办公室</w:t>
                  </w:r>
                </w:p>
                <w:p>
                  <w:pPr>
                    <w:pStyle w:val="BodyText"/>
                    <w:ind w:left="250"/>
                    <w:spacing w:line="219" w:lineRule="auto"/>
                    <w:rPr>
                      <w:sz w:val="41"/>
                      <w:szCs w:val="41"/>
                    </w:rPr>
                  </w:pPr>
                  <w:r>
                    <w:rPr>
                      <w:sz w:val="41"/>
                      <w:szCs w:val="41"/>
                      <w:spacing w:val="-28"/>
                    </w:rPr>
                    <w:t>2021年8月4日</w:t>
                  </w:r>
                </w:p>
              </w:txbxContent>
            </v:textbox>
          </v:shape>
        </w:pict>
      </w:r>
      <w:r>
        <w:rPr>
          <w:sz w:val="27"/>
          <w:szCs w:val="27"/>
          <w:spacing w:val="28"/>
        </w:rPr>
        <w:t>人力资源社会保障部办公厅</w:t>
      </w:r>
    </w:p>
    <w:p>
      <w:pPr>
        <w:spacing w:line="335" w:lineRule="auto"/>
        <w:rPr>
          <w:rFonts w:ascii="Arial"/>
          <w:sz w:val="21"/>
        </w:rPr>
      </w:pPr>
      <w:r/>
    </w:p>
    <w:p>
      <w:pPr>
        <w:spacing w:line="336" w:lineRule="auto"/>
        <w:rPr>
          <w:rFonts w:ascii="Arial"/>
          <w:sz w:val="21"/>
        </w:rPr>
      </w:pPr>
      <w:r/>
    </w:p>
    <w:p>
      <w:pPr>
        <w:ind w:left="693"/>
        <w:spacing w:before="88" w:line="222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b/>
          <w:bCs/>
          <w:color w:val="1A5074"/>
          <w:spacing w:val="11"/>
        </w:rPr>
        <w:t>(信息公开形式：主动公开)</w:t>
      </w:r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3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p>
      <w:pPr>
        <w:spacing w:before="2"/>
        <w:rPr/>
      </w:pPr>
      <w:r/>
    </w:p>
    <w:tbl>
      <w:tblPr>
        <w:tblStyle w:val="TableNormal"/>
        <w:tblW w:w="8570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275"/>
        <w:gridCol w:w="4295"/>
      </w:tblGrid>
      <w:tr>
        <w:trPr>
          <w:trHeight w:val="584" w:hRule="atLeast"/>
        </w:trPr>
        <w:tc>
          <w:tcPr>
            <w:tcW w:w="4275" w:type="dxa"/>
            <w:vAlign w:val="top"/>
            <w:tcBorders>
              <w:bottom w:val="single" w:color="000000" w:sz="8" w:space="0"/>
              <w:top w:val="single" w:color="000000" w:sz="2" w:space="0"/>
            </w:tcBorders>
          </w:tcPr>
          <w:p>
            <w:pPr>
              <w:ind w:left="340"/>
              <w:spacing w:before="184" w:line="222" w:lineRule="auto"/>
              <w:rPr>
                <w:rFonts w:ascii="FangSong" w:hAnsi="FangSong" w:eastAsia="FangSong" w:cs="FangSong"/>
                <w:sz w:val="27"/>
                <w:szCs w:val="27"/>
              </w:rPr>
            </w:pPr>
            <w:r>
              <w:rPr>
                <w:rFonts w:ascii="FangSong" w:hAnsi="FangSong" w:eastAsia="FangSong" w:cs="FangSong"/>
                <w:sz w:val="27"/>
                <w:szCs w:val="27"/>
                <w:color w:val="375B70"/>
                <w:spacing w:val="-7"/>
              </w:rPr>
              <w:t>国家卫生健康委办公厅</w:t>
            </w:r>
          </w:p>
        </w:tc>
        <w:tc>
          <w:tcPr>
            <w:tcW w:w="4295" w:type="dxa"/>
            <w:vAlign w:val="top"/>
            <w:tcBorders>
              <w:bottom w:val="single" w:color="000000" w:sz="8" w:space="0"/>
              <w:top w:val="single" w:color="000000" w:sz="2" w:space="0"/>
            </w:tcBorders>
          </w:tcPr>
          <w:p>
            <w:pPr>
              <w:ind w:left="1405"/>
              <w:spacing w:before="182" w:line="222" w:lineRule="auto"/>
              <w:rPr>
                <w:rFonts w:ascii="FangSong" w:hAnsi="FangSong" w:eastAsia="FangSong" w:cs="FangSong"/>
                <w:sz w:val="27"/>
                <w:szCs w:val="27"/>
              </w:rPr>
            </w:pPr>
            <w:r>
              <w:rPr>
                <w:rFonts w:ascii="FangSong" w:hAnsi="FangSong" w:eastAsia="FangSong" w:cs="FangSong"/>
                <w:sz w:val="27"/>
                <w:szCs w:val="27"/>
                <w:color w:val="37586E"/>
                <w:spacing w:val="23"/>
              </w:rPr>
              <w:t>2021年8月16日印发</w:t>
            </w:r>
          </w:p>
        </w:tc>
      </w:tr>
    </w:tbl>
    <w:p>
      <w:pPr>
        <w:ind w:left="6570"/>
        <w:spacing w:before="155" w:line="220" w:lineRule="auto"/>
        <w:rPr>
          <w:rFonts w:ascii="FangSong" w:hAnsi="FangSong" w:eastAsia="FangSong" w:cs="FangSong"/>
          <w:sz w:val="27"/>
          <w:szCs w:val="27"/>
        </w:rPr>
      </w:pPr>
      <w:r>
        <w:rPr>
          <w:rFonts w:ascii="FangSong" w:hAnsi="FangSong" w:eastAsia="FangSong" w:cs="FangSong"/>
          <w:sz w:val="27"/>
          <w:szCs w:val="27"/>
          <w:color w:val="2C5872"/>
          <w:spacing w:val="-27"/>
        </w:rPr>
        <w:t>校对：程明兼</w:t>
      </w:r>
    </w:p>
    <w:p>
      <w:pPr>
        <w:spacing w:line="220" w:lineRule="auto"/>
        <w:sectPr>
          <w:footerReference w:type="default" r:id="rId12"/>
          <w:pgSz w:w="11900" w:h="16840"/>
          <w:pgMar w:top="1431" w:right="1785" w:bottom="1999" w:left="1329" w:header="0" w:footer="1733" w:gutter="0"/>
        </w:sectPr>
        <w:rPr>
          <w:rFonts w:ascii="FangSong" w:hAnsi="FangSong" w:eastAsia="FangSong" w:cs="FangSong"/>
          <w:sz w:val="27"/>
          <w:szCs w:val="27"/>
        </w:rPr>
      </w:pPr>
    </w:p>
    <w:p>
      <w:pPr>
        <w:spacing w:line="16827" w:lineRule="exact"/>
        <w:rPr/>
      </w:pPr>
      <w:r>
        <w:rPr>
          <w:position w:val="-336"/>
        </w:rPr>
        <w:drawing>
          <wp:inline distT="0" distB="0" distL="0" distR="0">
            <wp:extent cx="7556500" cy="10685298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556500" cy="1068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27" w:lineRule="exact"/>
        <w:sectPr>
          <w:headerReference w:type="default" r:id="rId15"/>
          <w:footerReference w:type="default" r:id="rId16"/>
          <w:pgSz w:w="11900" w:h="16840"/>
          <w:pgMar w:top="1" w:right="0" w:bottom="1" w:left="0" w:header="0" w:footer="0" w:gutter="0"/>
        </w:sectPr>
        <w:rPr/>
      </w:pPr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spacing w:before="1"/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p>
      <w:pPr>
        <w:rPr/>
      </w:pPr>
      <w:r/>
    </w:p>
    <w:tbl>
      <w:tblPr>
        <w:tblStyle w:val="TableNormal"/>
        <w:tblW w:w="8710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4708"/>
        <w:gridCol w:w="4002"/>
      </w:tblGrid>
      <w:tr>
        <w:trPr>
          <w:trHeight w:val="604" w:hRule="atLeast"/>
        </w:trPr>
        <w:tc>
          <w:tcPr>
            <w:tcW w:w="4708" w:type="dxa"/>
            <w:vAlign w:val="top"/>
            <w:tcBorders>
              <w:bottom w:val="single" w:color="000000" w:sz="4" w:space="0"/>
              <w:top w:val="single" w:color="000000" w:sz="6" w:space="0"/>
            </w:tcBorders>
          </w:tcPr>
          <w:p>
            <w:pPr>
              <w:pStyle w:val="TableText"/>
              <w:ind w:left="340"/>
              <w:spacing w:before="193" w:line="222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  <w:color w:val="304D5F"/>
                <w:spacing w:val="12"/>
              </w:rPr>
              <w:t>河北省卫生健康委员会办公室</w:t>
            </w:r>
          </w:p>
        </w:tc>
        <w:tc>
          <w:tcPr>
            <w:tcW w:w="4002" w:type="dxa"/>
            <w:vAlign w:val="top"/>
            <w:tcBorders>
              <w:bottom w:val="single" w:color="000000" w:sz="4" w:space="0"/>
              <w:top w:val="single" w:color="000000" w:sz="6" w:space="0"/>
            </w:tcBorders>
          </w:tcPr>
          <w:p>
            <w:pPr>
              <w:pStyle w:val="TableText"/>
              <w:ind w:left="922"/>
              <w:spacing w:before="240" w:line="222" w:lineRule="auto"/>
              <w:rPr/>
            </w:pPr>
            <w:r>
              <w:rPr>
                <w:color w:val="2F4A5D"/>
                <w:spacing w:val="-21"/>
              </w:rPr>
              <w:t>2</w:t>
            </w:r>
            <w:r>
              <w:rPr>
                <w:color w:val="2F4A5D"/>
                <w:spacing w:val="-24"/>
              </w:rPr>
              <w:t xml:space="preserve"> </w:t>
            </w:r>
            <w:r>
              <w:rPr>
                <w:color w:val="2F4A5D"/>
                <w:spacing w:val="-21"/>
              </w:rPr>
              <w:t>0</w:t>
            </w:r>
            <w:r>
              <w:rPr>
                <w:color w:val="2F4A5D"/>
                <w:spacing w:val="-35"/>
              </w:rPr>
              <w:t xml:space="preserve"> </w:t>
            </w:r>
            <w:r>
              <w:rPr>
                <w:color w:val="2F4A5D"/>
                <w:spacing w:val="-21"/>
              </w:rPr>
              <w:t>2</w:t>
            </w:r>
            <w:r>
              <w:rPr>
                <w:color w:val="2F4A5D"/>
                <w:spacing w:val="-21"/>
              </w:rPr>
              <w:t xml:space="preserve"> </w:t>
            </w:r>
            <w:r>
              <w:rPr>
                <w:color w:val="2F4A5D"/>
                <w:spacing w:val="-21"/>
              </w:rPr>
              <w:t>1</w:t>
            </w:r>
            <w:r>
              <w:rPr>
                <w:color w:val="2F4A5D"/>
                <w:spacing w:val="-26"/>
              </w:rPr>
              <w:t xml:space="preserve"> </w:t>
            </w:r>
            <w:r>
              <w:rPr>
                <w:color w:val="2F4A5D"/>
                <w:spacing w:val="-21"/>
              </w:rPr>
              <w:t>年</w:t>
            </w:r>
            <w:r>
              <w:rPr>
                <w:color w:val="2F4A5D"/>
                <w:spacing w:val="-22"/>
              </w:rPr>
              <w:t xml:space="preserve"> </w:t>
            </w:r>
            <w:r>
              <w:rPr>
                <w:color w:val="2F4A5D"/>
                <w:spacing w:val="-21"/>
              </w:rPr>
              <w:t>1</w:t>
            </w:r>
            <w:r>
              <w:rPr>
                <w:color w:val="2F4A5D"/>
                <w:spacing w:val="-21"/>
              </w:rPr>
              <w:t xml:space="preserve"> </w:t>
            </w:r>
            <w:r>
              <w:rPr>
                <w:color w:val="2F4A5D"/>
                <w:spacing w:val="-21"/>
              </w:rPr>
              <w:t>1</w:t>
            </w:r>
            <w:r>
              <w:rPr>
                <w:color w:val="2F4A5D"/>
                <w:spacing w:val="-20"/>
              </w:rPr>
              <w:t xml:space="preserve"> </w:t>
            </w:r>
            <w:r>
              <w:rPr>
                <w:color w:val="2F4A5D"/>
                <w:spacing w:val="-21"/>
              </w:rPr>
              <w:t>月</w:t>
            </w:r>
            <w:r>
              <w:rPr>
                <w:color w:val="2F4A5D"/>
                <w:spacing w:val="-22"/>
              </w:rPr>
              <w:t xml:space="preserve"> </w:t>
            </w:r>
            <w:r>
              <w:rPr>
                <w:color w:val="2F4A5D"/>
                <w:spacing w:val="-21"/>
              </w:rPr>
              <w:t>1</w:t>
            </w:r>
            <w:r>
              <w:rPr>
                <w:color w:val="2F4A5D"/>
                <w:spacing w:val="-35"/>
              </w:rPr>
              <w:t xml:space="preserve"> </w:t>
            </w:r>
            <w:r>
              <w:rPr>
                <w:color w:val="2F4A5D"/>
                <w:spacing w:val="-21"/>
              </w:rPr>
              <w:t>6</w:t>
            </w:r>
            <w:r>
              <w:rPr>
                <w:color w:val="2F4A5D"/>
                <w:spacing w:val="7"/>
              </w:rPr>
              <w:t xml:space="preserve"> </w:t>
            </w:r>
            <w:r>
              <w:rPr>
                <w:color w:val="2F4A5D"/>
                <w:spacing w:val="-21"/>
              </w:rPr>
              <w:t>日</w:t>
            </w:r>
            <w:r>
              <w:rPr>
                <w:color w:val="2F4A5D"/>
                <w:spacing w:val="-21"/>
              </w:rPr>
              <w:t xml:space="preserve"> </w:t>
            </w:r>
            <w:r>
              <w:rPr>
                <w:color w:val="2F4A5D"/>
                <w:spacing w:val="-21"/>
              </w:rPr>
              <w:t>印</w:t>
            </w:r>
            <w:r>
              <w:rPr>
                <w:color w:val="2F4A5D"/>
                <w:spacing w:val="-21"/>
              </w:rPr>
              <w:t xml:space="preserve"> </w:t>
            </w:r>
            <w:r>
              <w:rPr>
                <w:color w:val="2F4A5D"/>
                <w:spacing w:val="-21"/>
              </w:rPr>
              <w:t>发</w:t>
            </w:r>
          </w:p>
        </w:tc>
      </w:tr>
    </w:tbl>
    <w:p>
      <w:pPr>
        <w:rPr>
          <w:rFonts w:ascii="Arial"/>
          <w:sz w:val="21"/>
        </w:rPr>
      </w:pPr>
      <w:r/>
    </w:p>
    <w:sectPr>
      <w:pgSz w:w="11900" w:h="16840"/>
      <w:pgMar w:top="400" w:right="1785" w:bottom="400" w:left="1319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279"/>
      <w:spacing w:line="176" w:lineRule="auto"/>
      <w:rPr>
        <w:sz w:val="28"/>
        <w:szCs w:val="28"/>
      </w:rPr>
    </w:pPr>
    <w:r>
      <w:rPr>
        <w:sz w:val="28"/>
        <w:szCs w:val="28"/>
        <w:spacing w:val="-18"/>
        <w:w w:val="95"/>
      </w:rPr>
      <w:t>—</w:t>
    </w:r>
    <w:r>
      <w:rPr>
        <w:sz w:val="28"/>
        <w:szCs w:val="28"/>
        <w:spacing w:val="64"/>
      </w:rPr>
      <w:t xml:space="preserve"> </w:t>
    </w:r>
    <w:r>
      <w:rPr>
        <w:sz w:val="28"/>
        <w:szCs w:val="28"/>
        <w:spacing w:val="-18"/>
        <w:w w:val="95"/>
      </w:rPr>
      <w:t>2</w:t>
    </w:r>
    <w:r>
      <w:rPr>
        <w:sz w:val="28"/>
        <w:szCs w:val="28"/>
        <w:spacing w:val="134"/>
      </w:rPr>
      <w:t xml:space="preserve"> </w:t>
    </w:r>
    <w:r>
      <w:rPr>
        <w:sz w:val="28"/>
        <w:szCs w:val="28"/>
        <w:spacing w:val="-18"/>
        <w:w w:val="95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430"/>
      <w:spacing w:before="1" w:line="176" w:lineRule="auto"/>
      <w:rPr>
        <w:sz w:val="29"/>
        <w:szCs w:val="29"/>
      </w:rPr>
    </w:pPr>
    <w:r>
      <w:rPr>
        <w:sz w:val="29"/>
        <w:szCs w:val="29"/>
        <w:color w:val="31475E"/>
        <w:spacing w:val="-9"/>
      </w:rPr>
      <w:t>—</w:t>
    </w:r>
    <w:r>
      <w:rPr>
        <w:sz w:val="29"/>
        <w:szCs w:val="29"/>
        <w:color w:val="31475E"/>
        <w:spacing w:val="13"/>
      </w:rPr>
      <w:t xml:space="preserve"> </w:t>
    </w:r>
    <w:r>
      <w:rPr>
        <w:sz w:val="29"/>
        <w:szCs w:val="29"/>
        <w:color w:val="31475E"/>
        <w:spacing w:val="-9"/>
      </w:rPr>
      <w:t>3</w:t>
    </w:r>
    <w:r>
      <w:rPr>
        <w:sz w:val="29"/>
        <w:szCs w:val="29"/>
        <w:color w:val="31475E"/>
        <w:spacing w:val="1"/>
      </w:rPr>
      <w:t xml:space="preserve">  </w:t>
    </w:r>
    <w:r>
      <w:rPr>
        <w:sz w:val="29"/>
        <w:szCs w:val="29"/>
        <w:color w:val="31475E"/>
        <w:spacing w:val="-9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69"/>
      <w:spacing w:line="176" w:lineRule="auto"/>
      <w:rPr>
        <w:sz w:val="29"/>
        <w:szCs w:val="29"/>
      </w:rPr>
    </w:pPr>
    <w:r>
      <w:rPr>
        <w:sz w:val="29"/>
        <w:szCs w:val="29"/>
        <w:color w:val="27414E"/>
        <w:spacing w:val="-15"/>
      </w:rPr>
      <w:t>—</w:t>
    </w:r>
    <w:r>
      <w:rPr>
        <w:sz w:val="29"/>
        <w:szCs w:val="29"/>
        <w:color w:val="27414E"/>
        <w:spacing w:val="48"/>
      </w:rPr>
      <w:t xml:space="preserve"> </w:t>
    </w:r>
    <w:r>
      <w:rPr>
        <w:sz w:val="29"/>
        <w:szCs w:val="29"/>
        <w:color w:val="27414E"/>
        <w:spacing w:val="-15"/>
      </w:rPr>
      <w:t>4</w:t>
    </w:r>
    <w:r>
      <w:rPr>
        <w:sz w:val="29"/>
        <w:szCs w:val="29"/>
        <w:color w:val="27414E"/>
        <w:spacing w:val="61"/>
      </w:rPr>
      <w:t xml:space="preserve"> </w:t>
    </w:r>
    <w:r>
      <w:rPr>
        <w:sz w:val="29"/>
        <w:szCs w:val="29"/>
        <w:color w:val="27414E"/>
        <w:spacing w:val="-15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7439"/>
      <w:spacing w:line="175" w:lineRule="auto"/>
      <w:rPr>
        <w:sz w:val="29"/>
        <w:szCs w:val="29"/>
      </w:rPr>
    </w:pPr>
    <w:r>
      <w:rPr>
        <w:sz w:val="29"/>
        <w:szCs w:val="29"/>
        <w:color w:val="3C5A79"/>
        <w:spacing w:val="-21"/>
        <w:w w:val="97"/>
      </w:rPr>
      <w:t>—</w:t>
    </w:r>
    <w:r>
      <w:rPr>
        <w:sz w:val="29"/>
        <w:szCs w:val="29"/>
        <w:color w:val="3C5A79"/>
        <w:spacing w:val="41"/>
      </w:rPr>
      <w:t xml:space="preserve"> </w:t>
    </w:r>
    <w:r>
      <w:rPr>
        <w:sz w:val="29"/>
        <w:szCs w:val="29"/>
        <w:color w:val="3C5A79"/>
        <w:spacing w:val="-21"/>
        <w:w w:val="97"/>
      </w:rPr>
      <w:t>5</w:t>
    </w:r>
    <w:r>
      <w:rPr>
        <w:sz w:val="29"/>
        <w:szCs w:val="29"/>
        <w:color w:val="3C5A79"/>
        <w:spacing w:val="11"/>
      </w:rPr>
      <w:t xml:space="preserve">  </w:t>
    </w:r>
    <w:r>
      <w:rPr>
        <w:sz w:val="29"/>
        <w:szCs w:val="29"/>
        <w:color w:val="3C5A79"/>
        <w:spacing w:val="-21"/>
        <w:w w:val="97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50"/>
      <w:spacing w:before="1" w:line="174" w:lineRule="auto"/>
      <w:rPr>
        <w:sz w:val="27"/>
        <w:szCs w:val="27"/>
      </w:rPr>
    </w:pPr>
    <w:r>
      <w:rPr>
        <w:sz w:val="27"/>
        <w:szCs w:val="27"/>
        <w:color w:val="496E8A"/>
        <w:spacing w:val="-5"/>
      </w:rPr>
      <w:t>—</w:t>
    </w:r>
    <w:r>
      <w:rPr>
        <w:sz w:val="27"/>
        <w:szCs w:val="27"/>
        <w:color w:val="496E8A"/>
        <w:spacing w:val="64"/>
      </w:rPr>
      <w:t xml:space="preserve"> </w:t>
    </w:r>
    <w:r>
      <w:rPr>
        <w:sz w:val="27"/>
        <w:szCs w:val="27"/>
        <w:color w:val="496E8A"/>
        <w:spacing w:val="-5"/>
      </w:rPr>
      <w:t>6  —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Sun" w:hAnsi="SimSun" w:eastAsia="SimSun" w:cs="SimSun"/>
      <w:sz w:val="75"/>
      <w:szCs w:val="75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FangSong" w:hAnsi="FangSong" w:eastAsia="FangSong" w:cs="FangSong"/>
      <w:sz w:val="22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Relationship Id="rId3" Type="http://schemas.openxmlformats.org/officeDocument/2006/relationships/image" Target="media/image2.png"/><Relationship Id="rId20" Type="http://schemas.openxmlformats.org/officeDocument/2006/relationships/fontTable" Target="fontTable.xml"/><Relationship Id="rId2" Type="http://schemas.openxmlformats.org/officeDocument/2006/relationships/footer" Target="footer1.xml"/><Relationship Id="rId19" Type="http://schemas.openxmlformats.org/officeDocument/2006/relationships/styles" Target="styles.xml"/><Relationship Id="rId18" Type="http://schemas.openxmlformats.org/officeDocument/2006/relationships/settings" Target="settings.xml"/><Relationship Id="rId17" Type="http://schemas.openxmlformats.org/officeDocument/2006/relationships/image" Target="media/image10.png"/><Relationship Id="rId16" Type="http://schemas.openxmlformats.org/officeDocument/2006/relationships/footer" Target="footer6.xml"/><Relationship Id="rId15" Type="http://schemas.openxmlformats.org/officeDocument/2006/relationships/header" Target="header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footer" Target="footer5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2024-05-24T10:44:33Z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2024-05-24T10:44:35</vt:filetime>
  </property>
  <property fmtid="{D5CDD505-2E9C-101B-9397-08002B2CF9AE}" pid="4" name="UsrData">
    <vt:lpwstr>664fff0a945f48001f36bb64wl</vt:lpwstr>
  </property>
</Properties>
</file>